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99F6" w14:textId="404BEEB8" w:rsidR="002535BA" w:rsidRPr="00577328" w:rsidRDefault="00063CCC" w:rsidP="002535BA">
      <w:pPr>
        <w:jc w:val="both"/>
        <w:rPr>
          <w:rFonts w:ascii="Times New Roman" w:hAnsi="Times New Roman" w:cs="Times New Roman"/>
          <w:b/>
          <w:bCs/>
          <w:sz w:val="24"/>
          <w:szCs w:val="24"/>
        </w:rPr>
      </w:pPr>
      <w:r>
        <w:rPr>
          <w:rFonts w:ascii="Times New Roman" w:hAnsi="Times New Roman" w:cs="Times New Roman"/>
          <w:b/>
          <w:bCs/>
          <w:sz w:val="24"/>
          <w:szCs w:val="24"/>
        </w:rPr>
        <w:t>ΘΕΜΑ</w:t>
      </w:r>
      <w:r w:rsidRPr="00063CCC">
        <w:rPr>
          <w:rFonts w:ascii="Times New Roman" w:hAnsi="Times New Roman" w:cs="Times New Roman"/>
          <w:b/>
          <w:bCs/>
          <w:sz w:val="24"/>
          <w:szCs w:val="24"/>
        </w:rPr>
        <w:t xml:space="preserve">: </w:t>
      </w:r>
      <w:r w:rsidR="00DB0F18" w:rsidRPr="00EC74DD">
        <w:rPr>
          <w:rFonts w:ascii="Times New Roman" w:eastAsia="Times New Roman" w:hAnsi="Times New Roman" w:cs="Times New Roman"/>
          <w:b/>
          <w:bCs/>
          <w:color w:val="333333"/>
          <w:sz w:val="24"/>
          <w:szCs w:val="24"/>
          <w:lang w:eastAsia="el-GR"/>
        </w:rPr>
        <w:t>Χρηματικό όριο υπαγωγής στον έλεγχο</w:t>
      </w:r>
      <w:r w:rsidR="00DB0F18">
        <w:rPr>
          <w:rFonts w:ascii="Times New Roman" w:eastAsia="Times New Roman" w:hAnsi="Times New Roman" w:cs="Times New Roman"/>
          <w:b/>
          <w:bCs/>
          <w:color w:val="333333"/>
          <w:sz w:val="24"/>
          <w:szCs w:val="24"/>
          <w:lang w:eastAsia="el-GR"/>
        </w:rPr>
        <w:t xml:space="preserve"> </w:t>
      </w:r>
      <w:r w:rsidR="00DB0F18">
        <w:rPr>
          <w:rFonts w:ascii="Times New Roman" w:eastAsia="Times New Roman" w:hAnsi="Times New Roman" w:cs="Times New Roman"/>
          <w:b/>
          <w:bCs/>
          <w:color w:val="333333"/>
          <w:sz w:val="24"/>
          <w:szCs w:val="24"/>
          <w:lang w:eastAsia="el-GR"/>
        </w:rPr>
        <w:t xml:space="preserve">για </w:t>
      </w:r>
      <w:r w:rsidR="002535BA" w:rsidRPr="00577328">
        <w:rPr>
          <w:rFonts w:ascii="Times New Roman" w:hAnsi="Times New Roman" w:cs="Times New Roman"/>
          <w:b/>
          <w:bCs/>
          <w:sz w:val="24"/>
          <w:szCs w:val="24"/>
        </w:rPr>
        <w:t>Αμοιβή βασικού μελετητή</w:t>
      </w:r>
    </w:p>
    <w:p w14:paraId="6B0B9BF5" w14:textId="79924489" w:rsidR="002535BA" w:rsidRPr="00063CCC" w:rsidRDefault="002535BA" w:rsidP="002535BA">
      <w:pPr>
        <w:jc w:val="both"/>
        <w:rPr>
          <w:rFonts w:ascii="Times New Roman" w:hAnsi="Times New Roman" w:cs="Times New Roman"/>
          <w:b/>
          <w:bCs/>
          <w:sz w:val="24"/>
          <w:szCs w:val="24"/>
        </w:rPr>
      </w:pPr>
      <w:r w:rsidRPr="00063CCC">
        <w:rPr>
          <w:rFonts w:ascii="Times New Roman" w:hAnsi="Times New Roman" w:cs="Times New Roman"/>
          <w:b/>
          <w:bCs/>
          <w:sz w:val="24"/>
          <w:szCs w:val="24"/>
        </w:rPr>
        <w:t xml:space="preserve">Ερώτηση </w:t>
      </w:r>
    </w:p>
    <w:p w14:paraId="3FC55E89" w14:textId="69BCD635" w:rsidR="000D0D48" w:rsidRPr="00577328" w:rsidRDefault="00DB0F18" w:rsidP="002535BA">
      <w:pPr>
        <w:jc w:val="both"/>
        <w:rPr>
          <w:rFonts w:ascii="Times New Roman" w:hAnsi="Times New Roman" w:cs="Times New Roman"/>
          <w:sz w:val="24"/>
          <w:szCs w:val="24"/>
        </w:rPr>
      </w:pPr>
      <w:r>
        <w:rPr>
          <w:rFonts w:ascii="Times New Roman" w:hAnsi="Times New Roman" w:cs="Times New Roman"/>
          <w:sz w:val="24"/>
          <w:szCs w:val="24"/>
        </w:rPr>
        <w:t>Παρακαλώ ενημερώστε μας στην π</w:t>
      </w:r>
      <w:r w:rsidR="002535BA" w:rsidRPr="00577328">
        <w:rPr>
          <w:rFonts w:ascii="Times New Roman" w:hAnsi="Times New Roman" w:cs="Times New Roman"/>
          <w:sz w:val="24"/>
          <w:szCs w:val="24"/>
        </w:rPr>
        <w:t xml:space="preserve">ερίπτωση αμοιβής 3 βασικών </w:t>
      </w:r>
      <w:r w:rsidR="000D0D48" w:rsidRPr="00577328">
        <w:rPr>
          <w:rFonts w:ascii="Times New Roman" w:hAnsi="Times New Roman" w:cs="Times New Roman"/>
          <w:sz w:val="24"/>
          <w:szCs w:val="24"/>
        </w:rPr>
        <w:t>μελετητών</w:t>
      </w:r>
      <w:r w:rsidR="002535BA" w:rsidRPr="00577328">
        <w:rPr>
          <w:rFonts w:ascii="Times New Roman" w:hAnsi="Times New Roman" w:cs="Times New Roman"/>
          <w:sz w:val="24"/>
          <w:szCs w:val="24"/>
        </w:rPr>
        <w:t xml:space="preserve"> (</w:t>
      </w:r>
      <w:r w:rsidR="000D0D48" w:rsidRPr="00577328">
        <w:rPr>
          <w:rFonts w:ascii="Times New Roman" w:hAnsi="Times New Roman" w:cs="Times New Roman"/>
          <w:sz w:val="24"/>
          <w:szCs w:val="24"/>
        </w:rPr>
        <w:t>αφορά</w:t>
      </w:r>
      <w:r w:rsidR="002535BA" w:rsidRPr="00577328">
        <w:rPr>
          <w:rFonts w:ascii="Times New Roman" w:hAnsi="Times New Roman" w:cs="Times New Roman"/>
          <w:sz w:val="24"/>
          <w:szCs w:val="24"/>
        </w:rPr>
        <w:t xml:space="preserve"> </w:t>
      </w:r>
      <w:r w:rsidR="000D0D48" w:rsidRPr="00577328">
        <w:rPr>
          <w:rFonts w:ascii="Times New Roman" w:hAnsi="Times New Roman" w:cs="Times New Roman"/>
          <w:sz w:val="24"/>
          <w:szCs w:val="24"/>
        </w:rPr>
        <w:t>έργο</w:t>
      </w:r>
      <w:r w:rsidR="00063CCC">
        <w:rPr>
          <w:rFonts w:ascii="Times New Roman" w:hAnsi="Times New Roman" w:cs="Times New Roman"/>
          <w:sz w:val="24"/>
          <w:szCs w:val="24"/>
        </w:rPr>
        <w:t xml:space="preserve"> </w:t>
      </w:r>
      <w:proofErr w:type="spellStart"/>
      <w:r w:rsidR="00063CCC">
        <w:rPr>
          <w:rFonts w:ascii="Times New Roman" w:hAnsi="Times New Roman" w:cs="Times New Roman"/>
          <w:sz w:val="24"/>
          <w:szCs w:val="24"/>
        </w:rPr>
        <w:t>Οδοποιϊας</w:t>
      </w:r>
      <w:proofErr w:type="spellEnd"/>
      <w:r>
        <w:rPr>
          <w:rFonts w:ascii="Times New Roman" w:hAnsi="Times New Roman" w:cs="Times New Roman"/>
          <w:sz w:val="24"/>
          <w:szCs w:val="24"/>
        </w:rPr>
        <w:t xml:space="preserve"> </w:t>
      </w:r>
      <w:r w:rsidR="00063CCC">
        <w:rPr>
          <w:rFonts w:ascii="Times New Roman" w:hAnsi="Times New Roman" w:cs="Times New Roman"/>
          <w:sz w:val="24"/>
          <w:szCs w:val="24"/>
        </w:rPr>
        <w:t>συνολικού Π/Υ Μελέτης</w:t>
      </w:r>
      <w:r w:rsidR="002535BA" w:rsidRPr="00577328">
        <w:rPr>
          <w:rFonts w:ascii="Times New Roman" w:hAnsi="Times New Roman" w:cs="Times New Roman"/>
          <w:sz w:val="24"/>
          <w:szCs w:val="24"/>
        </w:rPr>
        <w:t xml:space="preserve"> </w:t>
      </w:r>
      <w:r w:rsidR="00063CCC">
        <w:rPr>
          <w:rFonts w:ascii="Times New Roman" w:hAnsi="Times New Roman" w:cs="Times New Roman"/>
          <w:sz w:val="24"/>
          <w:szCs w:val="24"/>
        </w:rPr>
        <w:t>3</w:t>
      </w:r>
      <w:r w:rsidR="002535BA" w:rsidRPr="00577328">
        <w:rPr>
          <w:rFonts w:ascii="Times New Roman" w:hAnsi="Times New Roman" w:cs="Times New Roman"/>
          <w:b/>
          <w:bCs/>
          <w:sz w:val="24"/>
          <w:szCs w:val="24"/>
        </w:rPr>
        <w:t>.</w:t>
      </w:r>
      <w:r w:rsidR="00063CCC">
        <w:rPr>
          <w:rFonts w:ascii="Times New Roman" w:hAnsi="Times New Roman" w:cs="Times New Roman"/>
          <w:b/>
          <w:bCs/>
          <w:sz w:val="24"/>
          <w:szCs w:val="24"/>
        </w:rPr>
        <w:t>2</w:t>
      </w:r>
      <w:r w:rsidR="002535BA" w:rsidRPr="00577328">
        <w:rPr>
          <w:rFonts w:ascii="Times New Roman" w:hAnsi="Times New Roman" w:cs="Times New Roman"/>
          <w:b/>
          <w:bCs/>
          <w:sz w:val="24"/>
          <w:szCs w:val="24"/>
        </w:rPr>
        <w:t>00.000€)</w:t>
      </w:r>
      <w:r w:rsidR="000D0D48" w:rsidRPr="00577328">
        <w:rPr>
          <w:rFonts w:ascii="Times New Roman" w:hAnsi="Times New Roman" w:cs="Times New Roman"/>
          <w:sz w:val="24"/>
          <w:szCs w:val="24"/>
        </w:rPr>
        <w:t xml:space="preserve"> </w:t>
      </w:r>
      <w:r w:rsidR="002535BA" w:rsidRPr="00577328">
        <w:rPr>
          <w:rFonts w:ascii="Times New Roman" w:hAnsi="Times New Roman" w:cs="Times New Roman"/>
          <w:sz w:val="24"/>
          <w:szCs w:val="24"/>
        </w:rPr>
        <w:t xml:space="preserve">με τη </w:t>
      </w:r>
      <w:r w:rsidR="002535BA" w:rsidRPr="00577328">
        <w:rPr>
          <w:rFonts w:ascii="Times New Roman" w:hAnsi="Times New Roman" w:cs="Times New Roman"/>
          <w:b/>
          <w:bCs/>
          <w:i/>
          <w:iCs/>
          <w:sz w:val="24"/>
          <w:szCs w:val="24"/>
        </w:rPr>
        <w:t>διαδικασία της διαπραγμάτευσης χωρίς δημοσίευση</w:t>
      </w:r>
      <w:r>
        <w:rPr>
          <w:rFonts w:ascii="Times New Roman" w:hAnsi="Times New Roman" w:cs="Times New Roman"/>
          <w:b/>
          <w:bCs/>
          <w:i/>
          <w:iCs/>
          <w:sz w:val="24"/>
          <w:szCs w:val="24"/>
        </w:rPr>
        <w:t xml:space="preserve"> </w:t>
      </w:r>
      <w:r>
        <w:rPr>
          <w:rFonts w:ascii="Times New Roman" w:hAnsi="Times New Roman" w:cs="Times New Roman"/>
          <w:sz w:val="24"/>
          <w:szCs w:val="24"/>
        </w:rPr>
        <w:t>αν α</w:t>
      </w:r>
      <w:r w:rsidRPr="00DB0F18">
        <w:rPr>
          <w:rFonts w:ascii="Times New Roman" w:hAnsi="Times New Roman" w:cs="Times New Roman"/>
          <w:sz w:val="24"/>
          <w:szCs w:val="24"/>
        </w:rPr>
        <w:t xml:space="preserve">παιτείται </w:t>
      </w:r>
      <w:proofErr w:type="spellStart"/>
      <w:r w:rsidRPr="00DB0F18">
        <w:rPr>
          <w:rFonts w:ascii="Times New Roman" w:hAnsi="Times New Roman" w:cs="Times New Roman"/>
          <w:sz w:val="24"/>
          <w:szCs w:val="24"/>
        </w:rPr>
        <w:t>προσυμβατικός</w:t>
      </w:r>
      <w:proofErr w:type="spellEnd"/>
      <w:r w:rsidRPr="00DB0F18">
        <w:rPr>
          <w:rFonts w:ascii="Times New Roman" w:hAnsi="Times New Roman" w:cs="Times New Roman"/>
          <w:sz w:val="24"/>
          <w:szCs w:val="24"/>
        </w:rPr>
        <w:t xml:space="preserve"> έλεγχος</w:t>
      </w:r>
    </w:p>
    <w:p w14:paraId="6000FEDA" w14:textId="2401A76D" w:rsidR="000D0D48" w:rsidRPr="00DB0F18" w:rsidRDefault="002535BA" w:rsidP="00DB0F18">
      <w:pPr>
        <w:jc w:val="both"/>
        <w:rPr>
          <w:rFonts w:ascii="Times New Roman" w:hAnsi="Times New Roman" w:cs="Times New Roman"/>
          <w:sz w:val="24"/>
          <w:szCs w:val="24"/>
        </w:rPr>
      </w:pPr>
      <w:r w:rsidRPr="00577328">
        <w:rPr>
          <w:rFonts w:ascii="Times New Roman" w:hAnsi="Times New Roman" w:cs="Times New Roman"/>
          <w:sz w:val="24"/>
          <w:szCs w:val="24"/>
        </w:rPr>
        <w:t xml:space="preserve">Οι 3 </w:t>
      </w:r>
      <w:r w:rsidR="000D0D48" w:rsidRPr="00577328">
        <w:rPr>
          <w:rFonts w:ascii="Times New Roman" w:hAnsi="Times New Roman" w:cs="Times New Roman"/>
          <w:sz w:val="24"/>
          <w:szCs w:val="24"/>
        </w:rPr>
        <w:t>μελετητές</w:t>
      </w:r>
      <w:r w:rsidRPr="00577328">
        <w:rPr>
          <w:rFonts w:ascii="Times New Roman" w:hAnsi="Times New Roman" w:cs="Times New Roman"/>
          <w:sz w:val="24"/>
          <w:szCs w:val="24"/>
        </w:rPr>
        <w:t xml:space="preserve"> </w:t>
      </w:r>
      <w:r w:rsidR="000D0D48" w:rsidRPr="00577328">
        <w:rPr>
          <w:rFonts w:ascii="Times New Roman" w:hAnsi="Times New Roman" w:cs="Times New Roman"/>
          <w:sz w:val="24"/>
          <w:szCs w:val="24"/>
        </w:rPr>
        <w:t>είναι</w:t>
      </w:r>
      <w:r w:rsidRPr="00577328">
        <w:rPr>
          <w:rFonts w:ascii="Times New Roman" w:hAnsi="Times New Roman" w:cs="Times New Roman"/>
          <w:sz w:val="24"/>
          <w:szCs w:val="24"/>
        </w:rPr>
        <w:t xml:space="preserve"> αυτοί στους οποίους είχαν ανατεθεί οι αντίστοιχες μελέτες και ο π/υ των 3 </w:t>
      </w:r>
      <w:r w:rsidR="000D0D48" w:rsidRPr="00577328">
        <w:rPr>
          <w:rFonts w:ascii="Times New Roman" w:hAnsi="Times New Roman" w:cs="Times New Roman"/>
          <w:sz w:val="24"/>
          <w:szCs w:val="24"/>
        </w:rPr>
        <w:t>συμβάσεων</w:t>
      </w:r>
      <w:r w:rsidRPr="00577328">
        <w:rPr>
          <w:rFonts w:ascii="Times New Roman" w:hAnsi="Times New Roman" w:cs="Times New Roman"/>
          <w:sz w:val="24"/>
          <w:szCs w:val="24"/>
        </w:rPr>
        <w:t xml:space="preserve"> θα ανέλθει σε περίπου </w:t>
      </w:r>
      <w:r w:rsidRPr="00577328">
        <w:rPr>
          <w:rFonts w:ascii="Times New Roman" w:hAnsi="Times New Roman" w:cs="Times New Roman"/>
          <w:b/>
          <w:bCs/>
          <w:sz w:val="24"/>
          <w:szCs w:val="24"/>
        </w:rPr>
        <w:t>30.000€.</w:t>
      </w:r>
      <w:r w:rsidRPr="00577328">
        <w:rPr>
          <w:rFonts w:ascii="Times New Roman" w:hAnsi="Times New Roman" w:cs="Times New Roman"/>
          <w:sz w:val="24"/>
          <w:szCs w:val="24"/>
        </w:rPr>
        <w:t xml:space="preserve"> </w:t>
      </w:r>
    </w:p>
    <w:p w14:paraId="17C01E78" w14:textId="6A01881B" w:rsidR="003C78E5" w:rsidRPr="00577328" w:rsidRDefault="002535BA" w:rsidP="000D0D48">
      <w:pPr>
        <w:jc w:val="both"/>
        <w:rPr>
          <w:rFonts w:ascii="Times New Roman" w:hAnsi="Times New Roman" w:cs="Times New Roman"/>
          <w:sz w:val="24"/>
          <w:szCs w:val="24"/>
        </w:rPr>
      </w:pPr>
      <w:r w:rsidRPr="00577328">
        <w:rPr>
          <w:rFonts w:ascii="Times New Roman" w:hAnsi="Times New Roman" w:cs="Times New Roman"/>
          <w:sz w:val="24"/>
          <w:szCs w:val="24"/>
        </w:rPr>
        <w:t>Σας ευχαριστώ θερμά.</w:t>
      </w:r>
    </w:p>
    <w:p w14:paraId="57CF67A6" w14:textId="7C69722D" w:rsidR="000D0D48" w:rsidRPr="00577328" w:rsidRDefault="000D0D48" w:rsidP="000D0D48">
      <w:pPr>
        <w:jc w:val="both"/>
        <w:rPr>
          <w:rFonts w:ascii="Times New Roman" w:hAnsi="Times New Roman" w:cs="Times New Roman"/>
          <w:sz w:val="24"/>
          <w:szCs w:val="24"/>
        </w:rPr>
      </w:pPr>
    </w:p>
    <w:p w14:paraId="2E98152A" w14:textId="02E8AA6A" w:rsidR="004C5CBD" w:rsidRPr="00577328" w:rsidRDefault="004C5CBD" w:rsidP="000D0D48">
      <w:pPr>
        <w:jc w:val="both"/>
        <w:rPr>
          <w:rFonts w:ascii="Times New Roman" w:hAnsi="Times New Roman" w:cs="Times New Roman"/>
          <w:b/>
          <w:bCs/>
          <w:sz w:val="24"/>
          <w:szCs w:val="24"/>
        </w:rPr>
      </w:pPr>
      <w:r w:rsidRPr="00577328">
        <w:rPr>
          <w:rFonts w:ascii="Times New Roman" w:hAnsi="Times New Roman" w:cs="Times New Roman"/>
          <w:b/>
          <w:bCs/>
          <w:sz w:val="24"/>
          <w:szCs w:val="24"/>
        </w:rPr>
        <w:t xml:space="preserve">Απάντηση: </w:t>
      </w:r>
    </w:p>
    <w:p w14:paraId="55E8F018" w14:textId="3AAA1EC5" w:rsidR="00EC74DD" w:rsidRPr="00EC74DD" w:rsidRDefault="00EC74DD" w:rsidP="00EC74DD">
      <w:pPr>
        <w:shd w:val="clear" w:color="auto" w:fill="FFFFFF"/>
        <w:spacing w:after="0"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Σύμφωνα με το </w:t>
      </w:r>
      <w:r w:rsidRPr="00EC74DD">
        <w:rPr>
          <w:rFonts w:ascii="Times New Roman" w:eastAsia="Times New Roman" w:hAnsi="Times New Roman" w:cs="Times New Roman"/>
          <w:color w:val="333333"/>
          <w:sz w:val="24"/>
          <w:szCs w:val="24"/>
          <w:lang w:eastAsia="el-GR"/>
        </w:rPr>
        <w:t>άρθρο 324 παρ.2 του Ν.4700/2020</w:t>
      </w:r>
      <w:r>
        <w:rPr>
          <w:rFonts w:ascii="Times New Roman" w:eastAsia="Times New Roman" w:hAnsi="Times New Roman" w:cs="Times New Roman"/>
          <w:color w:val="333333"/>
          <w:sz w:val="24"/>
          <w:szCs w:val="24"/>
          <w:lang w:eastAsia="el-GR"/>
        </w:rPr>
        <w:t>,  σ</w:t>
      </w:r>
      <w:r w:rsidRPr="00EC74DD">
        <w:rPr>
          <w:rFonts w:ascii="Times New Roman" w:eastAsia="Times New Roman" w:hAnsi="Times New Roman" w:cs="Times New Roman"/>
          <w:color w:val="333333"/>
          <w:sz w:val="24"/>
          <w:szCs w:val="24"/>
          <w:lang w:eastAsia="el-GR"/>
        </w:rPr>
        <w:t xml:space="preserve">τις συμβάσεις έργων, προμηθειών και υπηρεσιών, καθώς και στις συμβάσεις αγοράς ακινήτων, που συνάπτονται από το Δημόσιο, τους οργανισμούς τοπικής αυτοδιοίκησης και τα νομικά τους πρόσωπα, καθώς και τα λοιπά νομικά πρόσωπα δημοσίου δικαίου, η </w:t>
      </w:r>
      <w:proofErr w:type="spellStart"/>
      <w:r w:rsidRPr="00EC74DD">
        <w:rPr>
          <w:rFonts w:ascii="Times New Roman" w:eastAsia="Times New Roman" w:hAnsi="Times New Roman" w:cs="Times New Roman"/>
          <w:color w:val="333333"/>
          <w:sz w:val="24"/>
          <w:szCs w:val="24"/>
          <w:lang w:eastAsia="el-GR"/>
        </w:rPr>
        <w:t>προϋπολογιζόμενη</w:t>
      </w:r>
      <w:proofErr w:type="spellEnd"/>
      <w:r w:rsidRPr="00EC74DD">
        <w:rPr>
          <w:rFonts w:ascii="Times New Roman" w:eastAsia="Times New Roman" w:hAnsi="Times New Roman" w:cs="Times New Roman"/>
          <w:color w:val="333333"/>
          <w:sz w:val="24"/>
          <w:szCs w:val="24"/>
          <w:lang w:eastAsia="el-GR"/>
        </w:rPr>
        <w:t xml:space="preserve"> δαπάνη των οποίων υπερβαίνει το ποσό των τριακοσίων χιλιάδων</w:t>
      </w:r>
      <w:r w:rsidRPr="00EC74DD">
        <w:rPr>
          <w:rFonts w:ascii="Times New Roman" w:eastAsia="Times New Roman" w:hAnsi="Times New Roman" w:cs="Times New Roman"/>
          <w:b/>
          <w:bCs/>
          <w:color w:val="333333"/>
          <w:sz w:val="24"/>
          <w:szCs w:val="24"/>
          <w:lang w:eastAsia="el-GR"/>
        </w:rPr>
        <w:t> (300.000,00) </w:t>
      </w:r>
      <w:r w:rsidRPr="00EC74DD">
        <w:rPr>
          <w:rFonts w:ascii="Times New Roman" w:eastAsia="Times New Roman" w:hAnsi="Times New Roman" w:cs="Times New Roman"/>
          <w:color w:val="333333"/>
          <w:sz w:val="24"/>
          <w:szCs w:val="24"/>
          <w:lang w:eastAsia="el-GR"/>
        </w:rPr>
        <w:t>ευρώ, μη συμπεριλαμβανομένου του</w:t>
      </w:r>
      <w:r w:rsidRPr="00EC74DD">
        <w:rPr>
          <w:rFonts w:ascii="Times New Roman" w:eastAsia="Times New Roman" w:hAnsi="Times New Roman" w:cs="Times New Roman"/>
          <w:b/>
          <w:bCs/>
          <w:color w:val="333333"/>
          <w:sz w:val="24"/>
          <w:szCs w:val="24"/>
          <w:lang w:eastAsia="el-GR"/>
        </w:rPr>
        <w:t> φόρου προστιθέμενης αξίας</w:t>
      </w:r>
      <w:r w:rsidRPr="00EC74DD">
        <w:rPr>
          <w:rFonts w:ascii="Times New Roman" w:eastAsia="Times New Roman" w:hAnsi="Times New Roman" w:cs="Times New Roman"/>
          <w:color w:val="333333"/>
          <w:sz w:val="24"/>
          <w:szCs w:val="24"/>
          <w:lang w:eastAsia="el-GR"/>
        </w:rPr>
        <w:t>, και μέχρι το όριο της παρ.1, διενεργείται υποχρεωτικά έλεγχος νομιμότητας πριν από τη σύναψή τους από τον </w:t>
      </w:r>
      <w:r w:rsidRPr="00EC74DD">
        <w:rPr>
          <w:rFonts w:ascii="Times New Roman" w:eastAsia="Times New Roman" w:hAnsi="Times New Roman" w:cs="Times New Roman"/>
          <w:b/>
          <w:bCs/>
          <w:color w:val="333333"/>
          <w:sz w:val="24"/>
          <w:szCs w:val="24"/>
          <w:lang w:eastAsia="el-GR"/>
        </w:rPr>
        <w:t>Επίτροπο</w:t>
      </w:r>
      <w:r w:rsidRPr="00EC74DD">
        <w:rPr>
          <w:rFonts w:ascii="Times New Roman" w:eastAsia="Times New Roman" w:hAnsi="Times New Roman" w:cs="Times New Roman"/>
          <w:color w:val="333333"/>
          <w:sz w:val="24"/>
          <w:szCs w:val="24"/>
          <w:lang w:eastAsia="el-GR"/>
        </w:rPr>
        <w:t xml:space="preserve"> του Ελεγκτικού Συνεδρίου που είναι αρμόδιος για τον κατασταλτικό έλεγχο των λογαριασμών των υπηρεσιών ή φορέων αυτών. </w:t>
      </w:r>
    </w:p>
    <w:p w14:paraId="644F9BD0" w14:textId="77777777" w:rsidR="00EC74DD" w:rsidRPr="00EC74DD" w:rsidRDefault="00EC74DD" w:rsidP="00EC74DD">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EC74DD">
        <w:rPr>
          <w:rFonts w:ascii="Times New Roman" w:eastAsia="Times New Roman" w:hAnsi="Times New Roman" w:cs="Times New Roman"/>
          <w:color w:val="333333"/>
          <w:sz w:val="24"/>
          <w:szCs w:val="24"/>
          <w:lang w:eastAsia="el-GR"/>
        </w:rPr>
        <w:t> </w:t>
      </w:r>
    </w:p>
    <w:p w14:paraId="5D196542" w14:textId="5C316392" w:rsidR="00EC74DD" w:rsidRPr="00EC74DD" w:rsidRDefault="00EC74DD" w:rsidP="00EC74DD">
      <w:pPr>
        <w:shd w:val="clear" w:color="auto" w:fill="FFFFFF"/>
        <w:spacing w:after="0"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Σύμφωνα με το </w:t>
      </w:r>
      <w:hyperlink r:id="rId5" w:tgtFrame="_blank" w:history="1">
        <w:r w:rsidRPr="00EC74DD">
          <w:rPr>
            <w:rFonts w:ascii="Times New Roman" w:eastAsia="Times New Roman" w:hAnsi="Times New Roman" w:cs="Times New Roman"/>
            <w:color w:val="333333"/>
            <w:sz w:val="24"/>
            <w:szCs w:val="24"/>
            <w:lang w:eastAsia="el-GR"/>
          </w:rPr>
          <w:t>άρθρο 324 παρ.1 του Ν.4700/2020</w:t>
        </w:r>
      </w:hyperlink>
      <w:r w:rsidRPr="00EC74DD">
        <w:rPr>
          <w:rFonts w:ascii="Times New Roman" w:eastAsia="Times New Roman" w:hAnsi="Times New Roman" w:cs="Times New Roman"/>
          <w:color w:val="333333"/>
          <w:sz w:val="24"/>
          <w:szCs w:val="24"/>
          <w:lang w:eastAsia="el-GR"/>
        </w:rPr>
        <w:t>, όπως τροποποιήθηκε από 04.02.2023 με το </w:t>
      </w:r>
      <w:hyperlink r:id="rId6" w:tgtFrame="_blank" w:history="1">
        <w:r w:rsidRPr="00EC74DD">
          <w:rPr>
            <w:rFonts w:ascii="Times New Roman" w:eastAsia="Times New Roman" w:hAnsi="Times New Roman" w:cs="Times New Roman"/>
            <w:color w:val="333333"/>
            <w:sz w:val="24"/>
            <w:szCs w:val="24"/>
            <w:lang w:eastAsia="el-GR"/>
          </w:rPr>
          <w:t>άρθρο 51 του ν.5016/23</w:t>
        </w:r>
      </w:hyperlink>
      <w:r>
        <w:rPr>
          <w:rFonts w:ascii="Times New Roman" w:eastAsia="Times New Roman" w:hAnsi="Times New Roman" w:cs="Times New Roman"/>
          <w:color w:val="333333"/>
          <w:sz w:val="24"/>
          <w:szCs w:val="24"/>
          <w:lang w:eastAsia="el-GR"/>
        </w:rPr>
        <w:t xml:space="preserve">), </w:t>
      </w:r>
      <w:r w:rsidRPr="00EC74DD">
        <w:rPr>
          <w:rFonts w:ascii="Times New Roman" w:eastAsia="Times New Roman" w:hAnsi="Times New Roman" w:cs="Times New Roman"/>
          <w:b/>
          <w:bCs/>
          <w:color w:val="333333"/>
          <w:sz w:val="24"/>
          <w:szCs w:val="24"/>
          <w:lang w:eastAsia="el-GR"/>
        </w:rPr>
        <w:t>στις συμβάσεις έργων</w:t>
      </w:r>
      <w:r w:rsidRPr="00EC74DD">
        <w:rPr>
          <w:rFonts w:ascii="Times New Roman" w:eastAsia="Times New Roman" w:hAnsi="Times New Roman" w:cs="Times New Roman"/>
          <w:color w:val="333333"/>
          <w:sz w:val="24"/>
          <w:szCs w:val="24"/>
          <w:lang w:eastAsia="el-GR"/>
        </w:rPr>
        <w:t xml:space="preserve">, προμηθειών και υπηρεσιών, καθώς και στις συμβάσεις αγοράς ακινήτων, που συνάπτονται από το Δημόσιο, τους οργανισμούς τοπικής αυτοδιοίκησης και τα νομικά τους πρόσωπα, τα λοιπά νομικά πρόσωπα δημοσίου δικαίου και τις δημόσιες επιχειρήσεις ή οργανισμούς, </w:t>
      </w:r>
      <w:r w:rsidRPr="00EC74DD">
        <w:rPr>
          <w:rFonts w:ascii="Times New Roman" w:eastAsia="Times New Roman" w:hAnsi="Times New Roman" w:cs="Times New Roman"/>
          <w:b/>
          <w:bCs/>
          <w:color w:val="333333"/>
          <w:sz w:val="24"/>
          <w:szCs w:val="24"/>
          <w:lang w:eastAsia="el-GR"/>
        </w:rPr>
        <w:t xml:space="preserve">η </w:t>
      </w:r>
      <w:proofErr w:type="spellStart"/>
      <w:r w:rsidRPr="00EC74DD">
        <w:rPr>
          <w:rFonts w:ascii="Times New Roman" w:eastAsia="Times New Roman" w:hAnsi="Times New Roman" w:cs="Times New Roman"/>
          <w:b/>
          <w:bCs/>
          <w:color w:val="333333"/>
          <w:sz w:val="24"/>
          <w:szCs w:val="24"/>
          <w:lang w:eastAsia="el-GR"/>
        </w:rPr>
        <w:t>προϋπολογιζόμενη</w:t>
      </w:r>
      <w:proofErr w:type="spellEnd"/>
      <w:r w:rsidRPr="00EC74DD">
        <w:rPr>
          <w:rFonts w:ascii="Times New Roman" w:eastAsia="Times New Roman" w:hAnsi="Times New Roman" w:cs="Times New Roman"/>
          <w:b/>
          <w:bCs/>
          <w:color w:val="333333"/>
          <w:sz w:val="24"/>
          <w:szCs w:val="24"/>
          <w:lang w:eastAsia="el-GR"/>
        </w:rPr>
        <w:t xml:space="preserve"> δαπάνη των οποίων υπερβαίνει το ποσό του ενός εκατομμυρίου επτακοσίων χιλιάδων (1.700.000) ευρώ, μη συμπεριλαμβανομένου του φόρου προστιθέμενης αξίας, διενεργείται υποχρεωτικά έλεγχος νομιμότητας, πριν από τη σύναψή τους από Κλιμάκιο του Ελεγκτικού Συνεδρίου.</w:t>
      </w:r>
      <w:r w:rsidRPr="00EC74DD">
        <w:rPr>
          <w:rFonts w:ascii="Times New Roman" w:eastAsia="Times New Roman" w:hAnsi="Times New Roman" w:cs="Times New Roman"/>
          <w:color w:val="333333"/>
          <w:sz w:val="24"/>
          <w:szCs w:val="24"/>
          <w:lang w:eastAsia="el-GR"/>
        </w:rPr>
        <w:t> </w:t>
      </w:r>
    </w:p>
    <w:p w14:paraId="60EF4005" w14:textId="5577F4C7" w:rsidR="00EC74DD" w:rsidRPr="00EC74DD" w:rsidRDefault="00EC74DD" w:rsidP="000D0D48">
      <w:pPr>
        <w:jc w:val="both"/>
        <w:rPr>
          <w:rFonts w:ascii="Times New Roman" w:eastAsia="Times New Roman" w:hAnsi="Times New Roman" w:cs="Times New Roman"/>
          <w:color w:val="333333"/>
          <w:sz w:val="24"/>
          <w:szCs w:val="24"/>
          <w:lang w:eastAsia="el-GR"/>
        </w:rPr>
      </w:pPr>
    </w:p>
    <w:p w14:paraId="26952147" w14:textId="77777777" w:rsidR="000D0D48" w:rsidRPr="00577328" w:rsidRDefault="000D0D48" w:rsidP="000D0D48">
      <w:pPr>
        <w:jc w:val="both"/>
        <w:rPr>
          <w:rFonts w:ascii="Times New Roman" w:hAnsi="Times New Roman" w:cs="Times New Roman"/>
          <w:sz w:val="24"/>
          <w:szCs w:val="24"/>
        </w:rPr>
      </w:pPr>
    </w:p>
    <w:sectPr w:rsidR="000D0D48" w:rsidRPr="005773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143"/>
    <w:multiLevelType w:val="multilevel"/>
    <w:tmpl w:val="1630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89981"/>
    <w:multiLevelType w:val="multilevel"/>
    <w:tmpl w:val="2EB8998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2D0B31"/>
    <w:multiLevelType w:val="hybridMultilevel"/>
    <w:tmpl w:val="751C1DC2"/>
    <w:lvl w:ilvl="0" w:tplc="934C632E">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7546130"/>
    <w:multiLevelType w:val="hybridMultilevel"/>
    <w:tmpl w:val="C75224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95451B"/>
    <w:multiLevelType w:val="multilevel"/>
    <w:tmpl w:val="4B95451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3964A09"/>
    <w:multiLevelType w:val="hybridMultilevel"/>
    <w:tmpl w:val="E99A4E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BA"/>
    <w:rsid w:val="00063CCC"/>
    <w:rsid w:val="000D0D48"/>
    <w:rsid w:val="001F4B9F"/>
    <w:rsid w:val="00202461"/>
    <w:rsid w:val="0025132A"/>
    <w:rsid w:val="002535BA"/>
    <w:rsid w:val="00267548"/>
    <w:rsid w:val="00276B9A"/>
    <w:rsid w:val="002E6D7F"/>
    <w:rsid w:val="003C78E5"/>
    <w:rsid w:val="004C5CBD"/>
    <w:rsid w:val="00507E7E"/>
    <w:rsid w:val="00577328"/>
    <w:rsid w:val="005D592D"/>
    <w:rsid w:val="0063505E"/>
    <w:rsid w:val="00763DD5"/>
    <w:rsid w:val="00A75704"/>
    <w:rsid w:val="00DB0F18"/>
    <w:rsid w:val="00EC7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42CF"/>
  <w15:chartTrackingRefBased/>
  <w15:docId w15:val="{91EAEB32-B370-479D-8D18-CE0C9953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535BA"/>
    <w:rPr>
      <w:color w:val="0563C1" w:themeColor="hyperlink"/>
      <w:u w:val="single"/>
    </w:rPr>
  </w:style>
  <w:style w:type="character" w:styleId="a3">
    <w:name w:val="Unresolved Mention"/>
    <w:basedOn w:val="a0"/>
    <w:uiPriority w:val="99"/>
    <w:semiHidden/>
    <w:unhideWhenUsed/>
    <w:rsid w:val="002535BA"/>
    <w:rPr>
      <w:color w:val="605E5C"/>
      <w:shd w:val="clear" w:color="auto" w:fill="E1DFDD"/>
    </w:rPr>
  </w:style>
  <w:style w:type="paragraph" w:styleId="a4">
    <w:name w:val="List Paragraph"/>
    <w:basedOn w:val="a"/>
    <w:uiPriority w:val="34"/>
    <w:qFormat/>
    <w:rsid w:val="000D0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7579">
      <w:bodyDiv w:val="1"/>
      <w:marLeft w:val="0"/>
      <w:marRight w:val="0"/>
      <w:marTop w:val="0"/>
      <w:marBottom w:val="0"/>
      <w:divBdr>
        <w:top w:val="none" w:sz="0" w:space="0" w:color="auto"/>
        <w:left w:val="none" w:sz="0" w:space="0" w:color="auto"/>
        <w:bottom w:val="none" w:sz="0" w:space="0" w:color="auto"/>
        <w:right w:val="none" w:sz="0" w:space="0" w:color="auto"/>
      </w:divBdr>
      <w:divsChild>
        <w:div w:id="1211263033">
          <w:marLeft w:val="0"/>
          <w:marRight w:val="0"/>
          <w:marTop w:val="0"/>
          <w:marBottom w:val="0"/>
          <w:divBdr>
            <w:top w:val="none" w:sz="0" w:space="0" w:color="auto"/>
            <w:left w:val="none" w:sz="0" w:space="0" w:color="auto"/>
            <w:bottom w:val="none" w:sz="0" w:space="0" w:color="auto"/>
            <w:right w:val="none" w:sz="0" w:space="0" w:color="auto"/>
          </w:divBdr>
        </w:div>
        <w:div w:id="1749761979">
          <w:marLeft w:val="0"/>
          <w:marRight w:val="0"/>
          <w:marTop w:val="0"/>
          <w:marBottom w:val="0"/>
          <w:divBdr>
            <w:top w:val="none" w:sz="0" w:space="0" w:color="auto"/>
            <w:left w:val="none" w:sz="0" w:space="0" w:color="auto"/>
            <w:bottom w:val="none" w:sz="0" w:space="0" w:color="auto"/>
            <w:right w:val="none" w:sz="0" w:space="0" w:color="auto"/>
          </w:divBdr>
        </w:div>
      </w:divsChild>
    </w:div>
    <w:div w:id="1014113992">
      <w:bodyDiv w:val="1"/>
      <w:marLeft w:val="0"/>
      <w:marRight w:val="0"/>
      <w:marTop w:val="0"/>
      <w:marBottom w:val="0"/>
      <w:divBdr>
        <w:top w:val="none" w:sz="0" w:space="0" w:color="auto"/>
        <w:left w:val="none" w:sz="0" w:space="0" w:color="auto"/>
        <w:bottom w:val="none" w:sz="0" w:space="0" w:color="auto"/>
        <w:right w:val="none" w:sz="0" w:space="0" w:color="auto"/>
      </w:divBdr>
    </w:div>
    <w:div w:id="1613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412.gr/blog/laws/%ce%ac%cf%81%ce%b8%cf%81%ce%bf-51-%ce%bc%ce%b5%cf%84%ce%b1%cf%86%ce%bf%cf%81%ce%ac-%ce%b1%cf%81%ce%bc%ce%bf%ce%b4%ce%b9%cf%8c%cf%84%ce%b7%cf%84%ce%b1%cf%82-%ce%b5%ce%bb%ce%ad%ce%b3%cf%87%ce%bf%cf%85/" TargetMode="External"/><Relationship Id="rId5" Type="http://schemas.openxmlformats.org/officeDocument/2006/relationships/hyperlink" Target="https://4412.gr/blog/laws/%ce%ac%cf%81%ce%b8%cf%81%ce%bf-324-%cf%85%cf%80%ce%b1%ce%b3%cf%89%ce%b3%ce%ae-%cf%83%cf%84%ce%bf%ce%bd-%cf%80%cf%81%ce%bf%cf%83%cf%85%ce%bc%ce%b2%ce%b1%cf%84%ce%b9%ce%ba%cf%8c-%ce%ad%ce%bb%ce%b5-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1954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2</cp:revision>
  <dcterms:created xsi:type="dcterms:W3CDTF">2025-03-20T12:29:00Z</dcterms:created>
  <dcterms:modified xsi:type="dcterms:W3CDTF">2025-03-20T12:29:00Z</dcterms:modified>
</cp:coreProperties>
</file>