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8D0C" w14:textId="1058F661" w:rsidR="00F70521" w:rsidRPr="00E620CC" w:rsidRDefault="00E620CC" w:rsidP="00F70521">
      <w:pPr>
        <w:shd w:val="clear" w:color="auto" w:fill="FFFFFF"/>
        <w:spacing w:before="343" w:after="171" w:line="240" w:lineRule="auto"/>
        <w:jc w:val="both"/>
        <w:outlineLvl w:val="2"/>
        <w:rPr>
          <w:rFonts w:ascii="Times New Roman" w:eastAsia="Times New Roman" w:hAnsi="Times New Roman" w:cs="Times New Roman"/>
          <w:b/>
          <w:bCs/>
          <w:noProof w:val="0"/>
          <w:color w:val="333333"/>
          <w:sz w:val="24"/>
          <w:szCs w:val="24"/>
          <w:lang w:eastAsia="el-GR"/>
        </w:rPr>
      </w:pPr>
      <w:r w:rsidRPr="00E620CC">
        <w:rPr>
          <w:rFonts w:ascii="Times New Roman" w:eastAsia="Times New Roman" w:hAnsi="Times New Roman" w:cs="Times New Roman"/>
          <w:b/>
          <w:bCs/>
          <w:noProof w:val="0"/>
          <w:color w:val="333333"/>
          <w:sz w:val="24"/>
          <w:szCs w:val="24"/>
          <w:lang w:eastAsia="el-GR"/>
        </w:rPr>
        <w:t xml:space="preserve">ΘΕΜΑ : </w:t>
      </w:r>
      <w:r w:rsidR="00F70521" w:rsidRPr="00E620CC">
        <w:rPr>
          <w:rFonts w:ascii="Times New Roman" w:eastAsia="Times New Roman" w:hAnsi="Times New Roman" w:cs="Times New Roman"/>
          <w:b/>
          <w:bCs/>
          <w:noProof w:val="0"/>
          <w:color w:val="333333"/>
          <w:sz w:val="24"/>
          <w:szCs w:val="24"/>
          <w:lang w:eastAsia="el-GR"/>
        </w:rPr>
        <w:t>Χορήγηση εγγυητική</w:t>
      </w:r>
      <w:r w:rsidRPr="00E620CC">
        <w:rPr>
          <w:rFonts w:ascii="Times New Roman" w:eastAsia="Times New Roman" w:hAnsi="Times New Roman" w:cs="Times New Roman"/>
          <w:b/>
          <w:bCs/>
          <w:noProof w:val="0"/>
          <w:color w:val="333333"/>
          <w:sz w:val="24"/>
          <w:szCs w:val="24"/>
          <w:lang w:eastAsia="el-GR"/>
        </w:rPr>
        <w:t>ς</w:t>
      </w:r>
      <w:r w:rsidR="00F70521" w:rsidRPr="00E620CC">
        <w:rPr>
          <w:rFonts w:ascii="Times New Roman" w:eastAsia="Times New Roman" w:hAnsi="Times New Roman" w:cs="Times New Roman"/>
          <w:b/>
          <w:bCs/>
          <w:noProof w:val="0"/>
          <w:color w:val="333333"/>
          <w:sz w:val="24"/>
          <w:szCs w:val="24"/>
          <w:lang w:eastAsia="el-GR"/>
        </w:rPr>
        <w:t xml:space="preserve"> Προκαταβολής Έργου</w:t>
      </w:r>
    </w:p>
    <w:p w14:paraId="2AA0C7AC" w14:textId="77777777" w:rsidR="00F70521" w:rsidRPr="00E620CC" w:rsidRDefault="00F70521" w:rsidP="00F70521">
      <w:pPr>
        <w:spacing w:after="0" w:line="240" w:lineRule="auto"/>
        <w:jc w:val="both"/>
        <w:rPr>
          <w:rFonts w:ascii="Times New Roman" w:eastAsia="Times New Roman" w:hAnsi="Times New Roman" w:cs="Times New Roman"/>
          <w:b/>
          <w:bCs/>
          <w:i/>
          <w:iCs/>
          <w:noProof w:val="0"/>
          <w:color w:val="7030A0"/>
          <w:sz w:val="24"/>
          <w:szCs w:val="24"/>
          <w:lang w:eastAsia="el-GR"/>
        </w:rPr>
      </w:pPr>
      <w:proofErr w:type="spellStart"/>
      <w:r w:rsidRPr="00E620CC">
        <w:rPr>
          <w:rFonts w:ascii="Times New Roman" w:eastAsia="Times New Roman" w:hAnsi="Times New Roman" w:cs="Times New Roman"/>
          <w:noProof w:val="0"/>
          <w:color w:val="333333"/>
          <w:sz w:val="24"/>
          <w:szCs w:val="24"/>
          <w:lang w:eastAsia="el-GR"/>
        </w:rPr>
        <w:t>Ημ</w:t>
      </w:r>
      <w:proofErr w:type="spellEnd"/>
      <w:r w:rsidRPr="00E620CC">
        <w:rPr>
          <w:rFonts w:ascii="Times New Roman" w:eastAsia="Times New Roman" w:hAnsi="Times New Roman" w:cs="Times New Roman"/>
          <w:noProof w:val="0"/>
          <w:color w:val="333333"/>
          <w:sz w:val="24"/>
          <w:szCs w:val="24"/>
          <w:lang w:eastAsia="el-GR"/>
        </w:rPr>
        <w:t>/</w:t>
      </w:r>
      <w:proofErr w:type="spellStart"/>
      <w:r w:rsidRPr="00E620CC">
        <w:rPr>
          <w:rFonts w:ascii="Times New Roman" w:eastAsia="Times New Roman" w:hAnsi="Times New Roman" w:cs="Times New Roman"/>
          <w:noProof w:val="0"/>
          <w:color w:val="333333"/>
          <w:sz w:val="24"/>
          <w:szCs w:val="24"/>
          <w:lang w:eastAsia="el-GR"/>
        </w:rPr>
        <w:t>νία</w:t>
      </w:r>
      <w:proofErr w:type="spellEnd"/>
      <w:r w:rsidRPr="00E620CC">
        <w:rPr>
          <w:rFonts w:ascii="Times New Roman" w:eastAsia="Times New Roman" w:hAnsi="Times New Roman" w:cs="Times New Roman"/>
          <w:noProof w:val="0"/>
          <w:color w:val="333333"/>
          <w:sz w:val="24"/>
          <w:szCs w:val="24"/>
          <w:lang w:eastAsia="el-GR"/>
        </w:rPr>
        <w:t xml:space="preserve"> υποβολής </w:t>
      </w:r>
      <w:r w:rsidRPr="00E620CC">
        <w:rPr>
          <w:rFonts w:ascii="Times New Roman" w:eastAsia="Times New Roman" w:hAnsi="Times New Roman" w:cs="Times New Roman"/>
          <w:b/>
          <w:bCs/>
          <w:i/>
          <w:iCs/>
          <w:noProof w:val="0"/>
          <w:color w:val="7030A0"/>
          <w:sz w:val="24"/>
          <w:szCs w:val="24"/>
          <w:lang w:eastAsia="el-GR"/>
        </w:rPr>
        <w:t>04/05/2022</w:t>
      </w:r>
    </w:p>
    <w:p w14:paraId="40B6647D" w14:textId="77777777" w:rsidR="00F70521" w:rsidRPr="00E620CC" w:rsidRDefault="00F70521" w:rsidP="00F70521">
      <w:pPr>
        <w:spacing w:after="0" w:line="240" w:lineRule="auto"/>
        <w:jc w:val="both"/>
        <w:rPr>
          <w:rFonts w:ascii="Times New Roman" w:eastAsia="Times New Roman" w:hAnsi="Times New Roman" w:cs="Times New Roman"/>
          <w:b/>
          <w:bCs/>
          <w:noProof w:val="0"/>
          <w:color w:val="333333"/>
          <w:sz w:val="24"/>
          <w:szCs w:val="24"/>
          <w:lang w:eastAsia="el-GR"/>
        </w:rPr>
      </w:pPr>
      <w:r w:rsidRPr="00E620CC">
        <w:rPr>
          <w:rFonts w:ascii="Times New Roman" w:eastAsia="Times New Roman" w:hAnsi="Times New Roman" w:cs="Times New Roman"/>
          <w:b/>
          <w:bCs/>
          <w:noProof w:val="0"/>
          <w:color w:val="333333"/>
          <w:sz w:val="24"/>
          <w:szCs w:val="24"/>
          <w:lang w:eastAsia="el-GR"/>
        </w:rPr>
        <w:t>Ερώτηση</w:t>
      </w:r>
    </w:p>
    <w:p w14:paraId="37E9F71B" w14:textId="77777777" w:rsidR="00F70521" w:rsidRPr="00E620CC" w:rsidRDefault="00F70521" w:rsidP="00F70521">
      <w:pPr>
        <w:spacing w:line="240" w:lineRule="auto"/>
        <w:jc w:val="both"/>
        <w:rPr>
          <w:rFonts w:ascii="Times New Roman" w:eastAsia="Times New Roman" w:hAnsi="Times New Roman" w:cs="Times New Roman"/>
          <w:noProof w:val="0"/>
          <w:color w:val="333333"/>
          <w:sz w:val="24"/>
          <w:szCs w:val="24"/>
          <w:lang w:eastAsia="el-GR"/>
        </w:rPr>
      </w:pPr>
      <w:r w:rsidRPr="00E620CC">
        <w:rPr>
          <w:rFonts w:ascii="Times New Roman" w:eastAsia="Times New Roman" w:hAnsi="Times New Roman" w:cs="Times New Roman"/>
          <w:noProof w:val="0"/>
          <w:color w:val="333333"/>
          <w:sz w:val="24"/>
          <w:szCs w:val="24"/>
          <w:lang w:eastAsia="el-GR"/>
        </w:rPr>
        <w:t>Σας παρακαλούμε όπως μας ενημερώσετε σχετικά με το τι ισχύει για την: ‘Χορήγηση, χρήση και εγγυητική προκαταβολής’. 1. Πιο συγκεκριμένα σας παρακαλούμε να μας ενημερώσετε εάν για έργο που η διακήρυξή του είναι από 25.10.2020, η κοινοποίηση της κατακύρωσης πραγματοποιήθηκε στις 16.04.2021, η πρόσκληση υπογραφής σύμβασης κοινοποιήθηκε στις 01.09.2021 και η σύμβαση υπεγράφη στις 21.09.2021 ισχύουν όσα ορίζει το άρθρο 150 του Ν. 4412/2016 πριν την τροποποίηση του ή μετά την τροποποίησή του με το άρθρο 69 του Ν.4782/2021. Δηλαδή η εφαρμογή του νόμου αφορά για διαδικασίες διαγωνισμού που ξεκίνησαν μετά από 01.09.2021 ή για τις συμβάσεις που υπεγράφησαν μετά από 01.09.2021, ανεξάρτητα από το αν η διακήρυξη δημοσιεύτηκε νωρίτερα από την ημερομηνία αυτή. 2. Επίσης σύμφωνα με το άρθρο 72 του Ν. 4412/2016, όπως ισχύει μετά την αντικατάστασή του από το άρθρο 21 του Ν.4782/2021: 7. Οι αναθέτουσες αρχές απαιτούν από τον ανάδοχο «εγγύηση προκαταβολής» στην περίπτωση που θα χορηγήσουν σε αυτόν προκαταβολή, για ποσό ίσο με αυτό της προκαταβολής. Η χορηγούμενη προκαταβολή είναι έντοκη από την ημερομηνία καταβολής της στον ανάδοχο και επιβαρύνεται με επιτόκιο, το ύψος του οποίου καθορίζεται με απόφαση του Υπουργού Οικονομικών. Θα Θέλαμε σας παρακαλώ να μας ενημερώσετε εάν ισχύει η ως άνω παράγραφος ή ισχύει κάτι διαφορετικό για την εγγύηση προκαταβολής. Διευκρινίζεται ότι έχουν υποβληθεί εγγυητικές επιστολές καλής εκτέλεσης, που αντιστοιχούν στο 5% της αξίας της σύμβασης.</w:t>
      </w:r>
    </w:p>
    <w:p w14:paraId="25B991E4" w14:textId="77777777" w:rsidR="00F70521" w:rsidRPr="00E620CC" w:rsidRDefault="00F70521" w:rsidP="00F70521">
      <w:pPr>
        <w:pBdr>
          <w:top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E620CC">
        <w:rPr>
          <w:rFonts w:ascii="Times New Roman" w:eastAsia="Times New Roman" w:hAnsi="Times New Roman" w:cs="Times New Roman"/>
          <w:noProof w:val="0"/>
          <w:vanish/>
          <w:sz w:val="24"/>
          <w:szCs w:val="24"/>
          <w:lang w:eastAsia="el-GR"/>
        </w:rPr>
        <w:t>Τέλος φόρμας</w:t>
      </w:r>
    </w:p>
    <w:p w14:paraId="5B1E8B74" w14:textId="77777777" w:rsidR="00F70521" w:rsidRPr="00E620CC" w:rsidRDefault="00F70521" w:rsidP="00F70521">
      <w:pPr>
        <w:pStyle w:val="Web"/>
        <w:jc w:val="both"/>
        <w:rPr>
          <w:rStyle w:val="a3"/>
          <w:color w:val="333333"/>
          <w:u w:val="single"/>
        </w:rPr>
      </w:pPr>
    </w:p>
    <w:p w14:paraId="3DD8C0C0" w14:textId="77777777" w:rsidR="00F70521" w:rsidRPr="00E620CC" w:rsidRDefault="00F70521" w:rsidP="00F70521">
      <w:pPr>
        <w:pStyle w:val="Web"/>
        <w:jc w:val="both"/>
        <w:rPr>
          <w:color w:val="333333"/>
        </w:rPr>
      </w:pPr>
      <w:r w:rsidRPr="00E620CC">
        <w:rPr>
          <w:rStyle w:val="a3"/>
          <w:color w:val="333333"/>
          <w:u w:val="single"/>
        </w:rPr>
        <w:t>Επί του 1</w:t>
      </w:r>
      <w:r w:rsidRPr="00E620CC">
        <w:rPr>
          <w:rStyle w:val="a3"/>
          <w:color w:val="333333"/>
          <w:u w:val="single"/>
          <w:vertAlign w:val="superscript"/>
        </w:rPr>
        <w:t>ου</w:t>
      </w:r>
      <w:r w:rsidRPr="00E620CC">
        <w:rPr>
          <w:rStyle w:val="a3"/>
          <w:color w:val="333333"/>
          <w:u w:val="single"/>
        </w:rPr>
        <w:t> ερωτήματος:</w:t>
      </w:r>
    </w:p>
    <w:p w14:paraId="3F6756E6" w14:textId="77777777" w:rsidR="00F70521" w:rsidRPr="00E620CC" w:rsidRDefault="00F70521" w:rsidP="00F70521">
      <w:pPr>
        <w:pStyle w:val="Web"/>
        <w:jc w:val="both"/>
        <w:rPr>
          <w:color w:val="333333"/>
        </w:rPr>
      </w:pPr>
      <w:r w:rsidRPr="00E620CC">
        <w:rPr>
          <w:color w:val="333333"/>
        </w:rPr>
        <w:t>Το άρθρο 150 N. 4412/2016 (“Προκαταβολές”) αντικαταστάθηκε με το άρθρο 69 Ν.4782/2021 (ΦΕΚ Α` 36/09.03.2021). ΠΡΟΣΟΧΗ:`</w:t>
      </w:r>
      <w:proofErr w:type="spellStart"/>
      <w:r w:rsidRPr="00E620CC">
        <w:rPr>
          <w:color w:val="333333"/>
        </w:rPr>
        <w:t>Εναρξη</w:t>
      </w:r>
      <w:proofErr w:type="spellEnd"/>
      <w:r w:rsidRPr="00E620CC">
        <w:rPr>
          <w:color w:val="333333"/>
        </w:rPr>
        <w:t xml:space="preserve"> </w:t>
      </w:r>
      <w:proofErr w:type="spellStart"/>
      <w:r w:rsidRPr="00E620CC">
        <w:rPr>
          <w:color w:val="333333"/>
        </w:rPr>
        <w:t>ισχύος,σύμφωνα</w:t>
      </w:r>
      <w:proofErr w:type="spellEnd"/>
      <w:r w:rsidRPr="00E620CC">
        <w:rPr>
          <w:color w:val="333333"/>
        </w:rPr>
        <w:t xml:space="preserve"> με το άρθρο 142 παρ.1β του αυτού νόμου, ΑΠΟ την 1η.9.2021,σύμφωνα  δε με το άρθρο 140 παρ.5 αυτού, καταλαμβάνει </w:t>
      </w:r>
      <w:r w:rsidRPr="00E620CC">
        <w:rPr>
          <w:rStyle w:val="a3"/>
          <w:color w:val="333333"/>
        </w:rPr>
        <w:t>διαγωνισμούς, που θα προκηρυχθούν μετά την 1.9.2021, όπως στην περίπτωση του εν λόγω Έργου σας.</w:t>
      </w:r>
    </w:p>
    <w:p w14:paraId="7A7D8487" w14:textId="77777777" w:rsidR="00F70521" w:rsidRPr="00E620CC" w:rsidRDefault="00F70521" w:rsidP="00F70521">
      <w:pPr>
        <w:pStyle w:val="Web"/>
        <w:jc w:val="both"/>
        <w:rPr>
          <w:color w:val="333333"/>
        </w:rPr>
      </w:pPr>
      <w:r w:rsidRPr="00E620CC">
        <w:rPr>
          <w:rStyle w:val="a3"/>
          <w:color w:val="333333"/>
          <w:u w:val="single"/>
        </w:rPr>
        <w:t>Επί του 2</w:t>
      </w:r>
      <w:r w:rsidRPr="00E620CC">
        <w:rPr>
          <w:rStyle w:val="a3"/>
          <w:color w:val="333333"/>
          <w:u w:val="single"/>
          <w:vertAlign w:val="superscript"/>
        </w:rPr>
        <w:t>ου</w:t>
      </w:r>
      <w:r w:rsidRPr="00E620CC">
        <w:rPr>
          <w:rStyle w:val="a3"/>
          <w:color w:val="333333"/>
          <w:u w:val="single"/>
        </w:rPr>
        <w:t> ερωτήματος:</w:t>
      </w:r>
    </w:p>
    <w:p w14:paraId="3C521A1E" w14:textId="77777777" w:rsidR="00F70521" w:rsidRPr="00E620CC" w:rsidRDefault="00F70521" w:rsidP="00F70521">
      <w:pPr>
        <w:pStyle w:val="Web"/>
        <w:jc w:val="both"/>
        <w:rPr>
          <w:color w:val="333333"/>
        </w:rPr>
      </w:pPr>
      <w:r w:rsidRPr="00E620CC">
        <w:rPr>
          <w:color w:val="333333"/>
        </w:rPr>
        <w:t>Το άρθρο 72 Ν. 4412/2016 όπως είχε τροποποιηθεί με το άρθρο 43 παρ.5 Ν.4605/2019 (ΦΕΚ Α 52), αντικαταστάθηκε με το άρθρο 21 Ν.4782/2021 (ΦΕΚ Α` 36/09.03.2021).</w:t>
      </w:r>
    </w:p>
    <w:p w14:paraId="34C0BA1B" w14:textId="77777777" w:rsidR="00F70521" w:rsidRPr="00E620CC" w:rsidRDefault="00F70521" w:rsidP="00F70521">
      <w:pPr>
        <w:pStyle w:val="Web"/>
        <w:jc w:val="both"/>
        <w:rPr>
          <w:color w:val="333333"/>
        </w:rPr>
      </w:pPr>
      <w:r w:rsidRPr="00E620CC">
        <w:rPr>
          <w:color w:val="333333"/>
        </w:rPr>
        <w:t xml:space="preserve">Με την παράγραφο 7 του (τροποποιημένου) Άρθρο 72 («Εγγυήσεις - Εξουσιοδοτική διάταξη») τροποποιούνται οι προϋποθέσεις έκδοσης εγγυητικής επιστολής προκαταβολής καθώς καταργείται η προϊσχύουσα ρύθμιση, να μην απαιτείται εγγύηση προκαταβολής εφόσον καλυπτόταν από το ποσό της εγγύησης καλής εκτέλεσης ή στην περίπτωση που το ύψος της προκαταβολής υπερέβαινε το ποσό της εγγύησης καλής εκτέλεσης, να απαιτείτο από τον ανάδοχο προσκόμιση εγγύησης προκαταβολής που θα κάλυπτε τη διαφορά μεταξύ του ποσού της εγγύησης καλής εκτέλεσης και του ποσού της καταβαλλομένης προκαταβολής. Η καταργούμενη ρύθμιση συμψηφισμού των δύο </w:t>
      </w:r>
      <w:proofErr w:type="spellStart"/>
      <w:r w:rsidRPr="00E620CC">
        <w:rPr>
          <w:color w:val="333333"/>
        </w:rPr>
        <w:t>προαναφερομενων</w:t>
      </w:r>
      <w:proofErr w:type="spellEnd"/>
      <w:r w:rsidRPr="00E620CC">
        <w:rPr>
          <w:color w:val="333333"/>
        </w:rPr>
        <w:t xml:space="preserve"> εγγυήσεων στόχευε στη μείωση του οικονομικού κόστους της προκαταβολής για τους </w:t>
      </w:r>
      <w:r w:rsidRPr="00E620CC">
        <w:rPr>
          <w:color w:val="333333"/>
        </w:rPr>
        <w:lastRenderedPageBreak/>
        <w:t>αναδόχους, παράγοντα κρίσιμου ιδίως για τις μικρομεσαίες επιχειρήσεις, λαμβανομένων υπόψη και των δυσκολιών έκδοσης εγγυητικών επιστολών από τα πιστωτικά ιδρύματα ως συνέπεια της δημοσιονομικής, χρηματοπιστωτικής και τραπεζικής κρίσης που ταλάνισε την Ελλάδα από το 2010. (Γνώμη Α-45 ΕΑΑΔΗΣΥ).</w:t>
      </w:r>
    </w:p>
    <w:p w14:paraId="60B0630A" w14:textId="77777777" w:rsidR="00B16894" w:rsidRPr="00E620CC" w:rsidRDefault="00B16894" w:rsidP="00F70521">
      <w:pPr>
        <w:jc w:val="both"/>
        <w:rPr>
          <w:rFonts w:ascii="Times New Roman" w:hAnsi="Times New Roman" w:cs="Times New Roman"/>
          <w:sz w:val="24"/>
          <w:szCs w:val="24"/>
        </w:rPr>
      </w:pPr>
    </w:p>
    <w:sectPr w:rsidR="00B16894" w:rsidRPr="00E620CC"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70521"/>
    <w:rsid w:val="00441DD8"/>
    <w:rsid w:val="005524A5"/>
    <w:rsid w:val="00793EBB"/>
    <w:rsid w:val="00B16894"/>
    <w:rsid w:val="00E620CC"/>
    <w:rsid w:val="00F705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4C48"/>
  <w15:docId w15:val="{1B22C80E-63D4-4144-B2E9-53B8FBD5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894"/>
    <w:rPr>
      <w:noProof/>
    </w:rPr>
  </w:style>
  <w:style w:type="paragraph" w:styleId="3">
    <w:name w:val="heading 3"/>
    <w:basedOn w:val="a"/>
    <w:link w:val="3Char"/>
    <w:uiPriority w:val="9"/>
    <w:qFormat/>
    <w:rsid w:val="00F70521"/>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70521"/>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Strong"/>
    <w:basedOn w:val="a0"/>
    <w:uiPriority w:val="22"/>
    <w:qFormat/>
    <w:rsid w:val="00F70521"/>
    <w:rPr>
      <w:b/>
      <w:bCs/>
    </w:rPr>
  </w:style>
  <w:style w:type="character" w:customStyle="1" w:styleId="3Char">
    <w:name w:val="Επικεφαλίδα 3 Char"/>
    <w:basedOn w:val="a0"/>
    <w:link w:val="3"/>
    <w:uiPriority w:val="9"/>
    <w:rsid w:val="00F70521"/>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F70521"/>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F70521"/>
    <w:rPr>
      <w:rFonts w:ascii="Arial" w:eastAsia="Times New Roman" w:hAnsi="Arial" w:cs="Arial"/>
      <w:vanish/>
      <w:sz w:val="16"/>
      <w:szCs w:val="16"/>
      <w:lang w:eastAsia="el-GR"/>
    </w:rPr>
  </w:style>
  <w:style w:type="character" w:styleId="-">
    <w:name w:val="Hyperlink"/>
    <w:basedOn w:val="a0"/>
    <w:uiPriority w:val="99"/>
    <w:unhideWhenUsed/>
    <w:rsid w:val="00F70521"/>
    <w:rPr>
      <w:color w:val="0000FF"/>
      <w:u w:val="single"/>
    </w:rPr>
  </w:style>
  <w:style w:type="paragraph" w:styleId="z-0">
    <w:name w:val="HTML Bottom of Form"/>
    <w:basedOn w:val="a"/>
    <w:next w:val="a"/>
    <w:link w:val="z-Char0"/>
    <w:hidden/>
    <w:uiPriority w:val="99"/>
    <w:semiHidden/>
    <w:unhideWhenUsed/>
    <w:rsid w:val="00F70521"/>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F70521"/>
    <w:rPr>
      <w:rFonts w:ascii="Arial" w:eastAsia="Times New Roman" w:hAnsi="Arial" w:cs="Arial"/>
      <w:vanish/>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1684">
      <w:bodyDiv w:val="1"/>
      <w:marLeft w:val="0"/>
      <w:marRight w:val="0"/>
      <w:marTop w:val="0"/>
      <w:marBottom w:val="0"/>
      <w:divBdr>
        <w:top w:val="none" w:sz="0" w:space="0" w:color="auto"/>
        <w:left w:val="none" w:sz="0" w:space="0" w:color="auto"/>
        <w:bottom w:val="none" w:sz="0" w:space="0" w:color="auto"/>
        <w:right w:val="none" w:sz="0" w:space="0" w:color="auto"/>
      </w:divBdr>
      <w:divsChild>
        <w:div w:id="1653832231">
          <w:marLeft w:val="-257"/>
          <w:marRight w:val="-257"/>
          <w:marTop w:val="0"/>
          <w:marBottom w:val="0"/>
          <w:divBdr>
            <w:top w:val="none" w:sz="0" w:space="0" w:color="auto"/>
            <w:left w:val="none" w:sz="0" w:space="0" w:color="auto"/>
            <w:bottom w:val="none" w:sz="0" w:space="0" w:color="auto"/>
            <w:right w:val="none" w:sz="0" w:space="0" w:color="auto"/>
          </w:divBdr>
          <w:divsChild>
            <w:div w:id="991374652">
              <w:marLeft w:val="0"/>
              <w:marRight w:val="0"/>
              <w:marTop w:val="0"/>
              <w:marBottom w:val="0"/>
              <w:divBdr>
                <w:top w:val="none" w:sz="0" w:space="0" w:color="auto"/>
                <w:left w:val="none" w:sz="0" w:space="0" w:color="auto"/>
                <w:bottom w:val="none" w:sz="0" w:space="0" w:color="auto"/>
                <w:right w:val="none" w:sz="0" w:space="0" w:color="auto"/>
              </w:divBdr>
            </w:div>
          </w:divsChild>
        </w:div>
        <w:div w:id="818570587">
          <w:marLeft w:val="-257"/>
          <w:marRight w:val="-257"/>
          <w:marTop w:val="0"/>
          <w:marBottom w:val="257"/>
          <w:divBdr>
            <w:top w:val="none" w:sz="0" w:space="0" w:color="auto"/>
            <w:left w:val="none" w:sz="0" w:space="0" w:color="auto"/>
            <w:bottom w:val="none" w:sz="0" w:space="0" w:color="auto"/>
            <w:right w:val="none" w:sz="0" w:space="0" w:color="auto"/>
          </w:divBdr>
          <w:divsChild>
            <w:div w:id="1388839037">
              <w:marLeft w:val="0"/>
              <w:marRight w:val="0"/>
              <w:marTop w:val="0"/>
              <w:marBottom w:val="0"/>
              <w:divBdr>
                <w:top w:val="none" w:sz="0" w:space="0" w:color="auto"/>
                <w:left w:val="none" w:sz="0" w:space="0" w:color="auto"/>
                <w:bottom w:val="none" w:sz="0" w:space="0" w:color="auto"/>
                <w:right w:val="none" w:sz="0" w:space="0" w:color="auto"/>
              </w:divBdr>
            </w:div>
          </w:divsChild>
        </w:div>
        <w:div w:id="2069568055">
          <w:marLeft w:val="-257"/>
          <w:marRight w:val="-257"/>
          <w:marTop w:val="0"/>
          <w:marBottom w:val="257"/>
          <w:divBdr>
            <w:top w:val="none" w:sz="0" w:space="0" w:color="auto"/>
            <w:left w:val="none" w:sz="0" w:space="0" w:color="auto"/>
            <w:bottom w:val="none" w:sz="0" w:space="0" w:color="auto"/>
            <w:right w:val="none" w:sz="0" w:space="0" w:color="auto"/>
          </w:divBdr>
          <w:divsChild>
            <w:div w:id="2054183639">
              <w:marLeft w:val="0"/>
              <w:marRight w:val="0"/>
              <w:marTop w:val="0"/>
              <w:marBottom w:val="0"/>
              <w:divBdr>
                <w:top w:val="none" w:sz="0" w:space="0" w:color="auto"/>
                <w:left w:val="none" w:sz="0" w:space="0" w:color="auto"/>
                <w:bottom w:val="none" w:sz="0" w:space="0" w:color="auto"/>
                <w:right w:val="none" w:sz="0" w:space="0" w:color="auto"/>
              </w:divBdr>
            </w:div>
          </w:divsChild>
        </w:div>
        <w:div w:id="974406538">
          <w:marLeft w:val="-257"/>
          <w:marRight w:val="-257"/>
          <w:marTop w:val="0"/>
          <w:marBottom w:val="257"/>
          <w:divBdr>
            <w:top w:val="none" w:sz="0" w:space="0" w:color="auto"/>
            <w:left w:val="none" w:sz="0" w:space="0" w:color="auto"/>
            <w:bottom w:val="none" w:sz="0" w:space="0" w:color="auto"/>
            <w:right w:val="none" w:sz="0" w:space="0" w:color="auto"/>
          </w:divBdr>
          <w:divsChild>
            <w:div w:id="1005060648">
              <w:marLeft w:val="0"/>
              <w:marRight w:val="0"/>
              <w:marTop w:val="0"/>
              <w:marBottom w:val="0"/>
              <w:divBdr>
                <w:top w:val="none" w:sz="0" w:space="0" w:color="auto"/>
                <w:left w:val="none" w:sz="0" w:space="0" w:color="auto"/>
                <w:bottom w:val="none" w:sz="0" w:space="0" w:color="auto"/>
                <w:right w:val="none" w:sz="0" w:space="0" w:color="auto"/>
              </w:divBdr>
            </w:div>
          </w:divsChild>
        </w:div>
        <w:div w:id="1497499444">
          <w:marLeft w:val="-257"/>
          <w:marRight w:val="-257"/>
          <w:marTop w:val="0"/>
          <w:marBottom w:val="257"/>
          <w:divBdr>
            <w:top w:val="none" w:sz="0" w:space="0" w:color="auto"/>
            <w:left w:val="none" w:sz="0" w:space="0" w:color="auto"/>
            <w:bottom w:val="none" w:sz="0" w:space="0" w:color="auto"/>
            <w:right w:val="none" w:sz="0" w:space="0" w:color="auto"/>
          </w:divBdr>
          <w:divsChild>
            <w:div w:id="759713620">
              <w:marLeft w:val="0"/>
              <w:marRight w:val="0"/>
              <w:marTop w:val="0"/>
              <w:marBottom w:val="0"/>
              <w:divBdr>
                <w:top w:val="none" w:sz="0" w:space="0" w:color="auto"/>
                <w:left w:val="none" w:sz="0" w:space="0" w:color="auto"/>
                <w:bottom w:val="none" w:sz="0" w:space="0" w:color="auto"/>
                <w:right w:val="none" w:sz="0" w:space="0" w:color="auto"/>
              </w:divBdr>
            </w:div>
          </w:divsChild>
        </w:div>
        <w:div w:id="1177621587">
          <w:marLeft w:val="-257"/>
          <w:marRight w:val="-257"/>
          <w:marTop w:val="0"/>
          <w:marBottom w:val="257"/>
          <w:divBdr>
            <w:top w:val="none" w:sz="0" w:space="0" w:color="auto"/>
            <w:left w:val="none" w:sz="0" w:space="0" w:color="auto"/>
            <w:bottom w:val="none" w:sz="0" w:space="0" w:color="auto"/>
            <w:right w:val="none" w:sz="0" w:space="0" w:color="auto"/>
          </w:divBdr>
          <w:divsChild>
            <w:div w:id="1857382496">
              <w:marLeft w:val="0"/>
              <w:marRight w:val="0"/>
              <w:marTop w:val="0"/>
              <w:marBottom w:val="0"/>
              <w:divBdr>
                <w:top w:val="none" w:sz="0" w:space="0" w:color="auto"/>
                <w:left w:val="none" w:sz="0" w:space="0" w:color="auto"/>
                <w:bottom w:val="none" w:sz="0" w:space="0" w:color="auto"/>
                <w:right w:val="none" w:sz="0" w:space="0" w:color="auto"/>
              </w:divBdr>
            </w:div>
          </w:divsChild>
        </w:div>
        <w:div w:id="364058869">
          <w:marLeft w:val="-257"/>
          <w:marRight w:val="-257"/>
          <w:marTop w:val="0"/>
          <w:marBottom w:val="257"/>
          <w:divBdr>
            <w:top w:val="none" w:sz="0" w:space="0" w:color="auto"/>
            <w:left w:val="none" w:sz="0" w:space="0" w:color="auto"/>
            <w:bottom w:val="none" w:sz="0" w:space="0" w:color="auto"/>
            <w:right w:val="none" w:sz="0" w:space="0" w:color="auto"/>
          </w:divBdr>
          <w:divsChild>
            <w:div w:id="800726889">
              <w:marLeft w:val="0"/>
              <w:marRight w:val="0"/>
              <w:marTop w:val="0"/>
              <w:marBottom w:val="0"/>
              <w:divBdr>
                <w:top w:val="none" w:sz="0" w:space="0" w:color="auto"/>
                <w:left w:val="none" w:sz="0" w:space="0" w:color="auto"/>
                <w:bottom w:val="none" w:sz="0" w:space="0" w:color="auto"/>
                <w:right w:val="none" w:sz="0" w:space="0" w:color="auto"/>
              </w:divBdr>
            </w:div>
          </w:divsChild>
        </w:div>
        <w:div w:id="1620337277">
          <w:marLeft w:val="-257"/>
          <w:marRight w:val="-257"/>
          <w:marTop w:val="0"/>
          <w:marBottom w:val="257"/>
          <w:divBdr>
            <w:top w:val="none" w:sz="0" w:space="0" w:color="auto"/>
            <w:left w:val="none" w:sz="0" w:space="0" w:color="auto"/>
            <w:bottom w:val="none" w:sz="0" w:space="0" w:color="auto"/>
            <w:right w:val="none" w:sz="0" w:space="0" w:color="auto"/>
          </w:divBdr>
          <w:divsChild>
            <w:div w:id="20194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490</Words>
  <Characters>2648</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Ζήσης Παπασταμάτης</cp:lastModifiedBy>
  <cp:revision>2</cp:revision>
  <dcterms:created xsi:type="dcterms:W3CDTF">2022-05-09T19:56:00Z</dcterms:created>
  <dcterms:modified xsi:type="dcterms:W3CDTF">2025-03-20T13:25:00Z</dcterms:modified>
</cp:coreProperties>
</file>