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9C09" w14:textId="08B115D1" w:rsidR="004C7DC0" w:rsidRPr="004C7DC0" w:rsidRDefault="00417F62" w:rsidP="004C7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 w:rsidRPr="00417F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C7DC0" w:rsidRPr="004C7DC0">
        <w:rPr>
          <w:rFonts w:ascii="Times New Roman" w:hAnsi="Times New Roman" w:cs="Times New Roman"/>
          <w:b/>
          <w:bCs/>
          <w:sz w:val="24"/>
          <w:szCs w:val="24"/>
        </w:rPr>
        <w:t>Συμμετοχή μηχανικού ΤΕ σε επιτροπές διαγωνισμού μελετών και παροχής τεχνικών και λοιπών συναφών επιστημονικών υπηρεσιών</w:t>
      </w:r>
    </w:p>
    <w:p w14:paraId="25CA1EA4" w14:textId="5279FDE3" w:rsidR="004C7DC0" w:rsidRPr="004C7DC0" w:rsidRDefault="004C7DC0" w:rsidP="004C7D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DC0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4C7D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7DC0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4C7DC0">
        <w:rPr>
          <w:rFonts w:ascii="Times New Roman" w:hAnsi="Times New Roman" w:cs="Times New Roman"/>
          <w:sz w:val="24"/>
          <w:szCs w:val="24"/>
        </w:rPr>
        <w:t xml:space="preserve"> υποβολής </w:t>
      </w:r>
      <w:r w:rsidR="00417F62" w:rsidRPr="00417F62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12</w:t>
      </w:r>
      <w:r w:rsidRPr="00417F62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/1</w:t>
      </w:r>
      <w:r w:rsidR="00417F62" w:rsidRPr="00417F62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1</w:t>
      </w:r>
      <w:r w:rsidRPr="00417F62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/2022</w:t>
      </w:r>
    </w:p>
    <w:p w14:paraId="4C09BA79" w14:textId="77777777" w:rsidR="00417F62" w:rsidRDefault="00417F62" w:rsidP="004C7D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6F405" w14:textId="055F7D78" w:rsidR="004C7DC0" w:rsidRPr="00417F62" w:rsidRDefault="004C7DC0" w:rsidP="004C7D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62">
        <w:rPr>
          <w:rFonts w:ascii="Times New Roman" w:hAnsi="Times New Roman" w:cs="Times New Roman"/>
          <w:b/>
          <w:bCs/>
          <w:sz w:val="24"/>
          <w:szCs w:val="24"/>
        </w:rPr>
        <w:t>Ερώτηση</w:t>
      </w:r>
      <w:r w:rsidR="00417F62" w:rsidRPr="00417F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5CA9CBA" w14:textId="77777777" w:rsidR="0015713C" w:rsidRDefault="004C7DC0" w:rsidP="004C7DC0">
      <w:pPr>
        <w:jc w:val="both"/>
        <w:rPr>
          <w:rFonts w:ascii="Times New Roman" w:hAnsi="Times New Roman" w:cs="Times New Roman"/>
          <w:sz w:val="24"/>
          <w:szCs w:val="24"/>
        </w:rPr>
      </w:pPr>
      <w:r w:rsidRPr="004C7DC0">
        <w:rPr>
          <w:rFonts w:ascii="Times New Roman" w:hAnsi="Times New Roman" w:cs="Times New Roman"/>
          <w:sz w:val="24"/>
          <w:szCs w:val="24"/>
        </w:rPr>
        <w:t xml:space="preserve">Σύμφωνα με την παρ.9α του άρθρου 221 του Ν.4412/2016 όπως τροποποιήθηκε από το άρθρο 108 του Ν.4782/2021 ορίζεται ότι η επιτροπή διαγωνισμού μελετών και παροχής τεχνικών και λοιπών συναφών επιστημονικών υπηρεσιών αποτελείται και </w:t>
      </w:r>
      <w:r w:rsidRPr="0015713C">
        <w:rPr>
          <w:rFonts w:ascii="Times New Roman" w:hAnsi="Times New Roman" w:cs="Times New Roman"/>
          <w:b/>
          <w:bCs/>
          <w:sz w:val="24"/>
          <w:szCs w:val="24"/>
        </w:rPr>
        <w:t>από δύο (2) μέλη Τεχνικοί υπάλληλοι κατηγορίας ΠΕ-ΤΕ της Αναθέτουσας Αρχής με τους αναπληρωτές τους</w:t>
      </w:r>
      <w:r w:rsidRPr="004C7D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9BBD5" w14:textId="77777777" w:rsidR="00417F62" w:rsidRDefault="004C7DC0" w:rsidP="004C7DC0">
      <w:pPr>
        <w:jc w:val="both"/>
        <w:rPr>
          <w:rFonts w:ascii="Times New Roman" w:hAnsi="Times New Roman" w:cs="Times New Roman"/>
          <w:sz w:val="24"/>
          <w:szCs w:val="24"/>
        </w:rPr>
      </w:pPr>
      <w:r w:rsidRPr="004C7DC0">
        <w:rPr>
          <w:rFonts w:ascii="Times New Roman" w:hAnsi="Times New Roman" w:cs="Times New Roman"/>
          <w:sz w:val="24"/>
          <w:szCs w:val="24"/>
        </w:rPr>
        <w:t xml:space="preserve">Σύμφωνα όμως με το άρθρο (4) της απόφαση κατάρτισης και λειτουργίας του </w:t>
      </w:r>
      <w:proofErr w:type="spellStart"/>
      <w:r w:rsidRPr="004C7DC0">
        <w:rPr>
          <w:rFonts w:ascii="Times New Roman" w:hAnsi="Times New Roman" w:cs="Times New Roman"/>
          <w:sz w:val="24"/>
          <w:szCs w:val="24"/>
        </w:rPr>
        <w:t>ΜηΜΕΔ</w:t>
      </w:r>
      <w:proofErr w:type="spellEnd"/>
      <w:r w:rsidRPr="004C7DC0">
        <w:rPr>
          <w:rFonts w:ascii="Times New Roman" w:hAnsi="Times New Roman" w:cs="Times New Roman"/>
          <w:sz w:val="24"/>
          <w:szCs w:val="24"/>
        </w:rPr>
        <w:t xml:space="preserve"> (ΦΕΚ Β4841/29-12-2017) τα μέλη της επιτροπής (μελετών και παροχής τεχνικών και λοιπών συναφών επιστημονικών υπηρεσιών) θα πρέπει να διαθέτουν τα προσόντα των βαθμίδων Α ή Β ή Γ του Παραρτήματος ΙΙΙ στην οποία φαίνεται ότι κατατάσσονται μόνο διπλωματούχοι ΑΕΙ. Σύμφωνα με την απάντηση στο 3ο ερώτημα του 2ου και 3ου πρακτικού της ομάδας εργασίας (ΑΔΑ: ΨΝΙΙ465ΧΘΞ-ΓΛΒ), ο ορισμός των μελών των γνωμοδοτικών οργάνων θα πρέπει να λαμβάνει υπόψη τα κριτήρια επιλογής μελών του άρθρου (4) της ΥΑ ΔΝΣ/61034/ΦΝ 466/2017( 4841 Β) περί </w:t>
      </w:r>
      <w:proofErr w:type="spellStart"/>
      <w:r w:rsidRPr="004C7DC0">
        <w:rPr>
          <w:rFonts w:ascii="Times New Roman" w:hAnsi="Times New Roman" w:cs="Times New Roman"/>
          <w:sz w:val="24"/>
          <w:szCs w:val="24"/>
        </w:rPr>
        <w:t>ΜηΜΕΔ</w:t>
      </w:r>
      <w:proofErr w:type="spellEnd"/>
      <w:r w:rsidRPr="004C7DC0">
        <w:rPr>
          <w:rFonts w:ascii="Times New Roman" w:hAnsi="Times New Roman" w:cs="Times New Roman"/>
          <w:sz w:val="24"/>
          <w:szCs w:val="24"/>
        </w:rPr>
        <w:t xml:space="preserve"> καθώς ‘’η ισχύς της ουδόλως περιορίστηκε ή πως άλλως μεταβλήθηκε μετά την ισχύ των διατάξεων του άρθρου 108 του Ν.4782/2021.΄΄ </w:t>
      </w:r>
    </w:p>
    <w:p w14:paraId="4D5A83C0" w14:textId="7DC49875" w:rsidR="00931CEE" w:rsidRDefault="004C7DC0" w:rsidP="004C7DC0">
      <w:pPr>
        <w:jc w:val="both"/>
        <w:rPr>
          <w:rFonts w:ascii="Times New Roman" w:hAnsi="Times New Roman" w:cs="Times New Roman"/>
          <w:sz w:val="24"/>
          <w:szCs w:val="24"/>
        </w:rPr>
      </w:pPr>
      <w:r w:rsidRPr="004C7DC0">
        <w:rPr>
          <w:rFonts w:ascii="Times New Roman" w:hAnsi="Times New Roman" w:cs="Times New Roman"/>
          <w:sz w:val="24"/>
          <w:szCs w:val="24"/>
        </w:rPr>
        <w:t xml:space="preserve">Με βάση τα ανωτέρω εάν ληφθούν υπόψη τα κριτήρια της απόφασης κατάρτισης και λειτουργίας του </w:t>
      </w:r>
      <w:proofErr w:type="spellStart"/>
      <w:r w:rsidRPr="004C7DC0">
        <w:rPr>
          <w:rFonts w:ascii="Times New Roman" w:hAnsi="Times New Roman" w:cs="Times New Roman"/>
          <w:sz w:val="24"/>
          <w:szCs w:val="24"/>
        </w:rPr>
        <w:t>ΜηΜΕΔ</w:t>
      </w:r>
      <w:proofErr w:type="spellEnd"/>
      <w:r w:rsidRPr="004C7DC0">
        <w:rPr>
          <w:rFonts w:ascii="Times New Roman" w:hAnsi="Times New Roman" w:cs="Times New Roman"/>
          <w:sz w:val="24"/>
          <w:szCs w:val="24"/>
        </w:rPr>
        <w:t xml:space="preserve"> δεν είναι δυνατή η συμμετοχή τεχνικού κατηγορίας ΤΕ στην επιτροπή διαγωνισμού μελετώ</w:t>
      </w:r>
      <w:r w:rsidRPr="0015713C">
        <w:rPr>
          <w:rFonts w:ascii="Times New Roman" w:hAnsi="Times New Roman" w:cs="Times New Roman"/>
          <w:b/>
          <w:bCs/>
          <w:sz w:val="24"/>
          <w:szCs w:val="24"/>
        </w:rPr>
        <w:t>.... γεγονός το οποίο έρχεται σε αντίθεση με την παρ.9α του άρθρου 221 του Ν.4412/2016.</w:t>
      </w:r>
      <w:r w:rsidRPr="004C7DC0">
        <w:rPr>
          <w:rFonts w:ascii="Times New Roman" w:hAnsi="Times New Roman" w:cs="Times New Roman"/>
          <w:sz w:val="24"/>
          <w:szCs w:val="24"/>
        </w:rPr>
        <w:t xml:space="preserve"> Τι ισχύει;</w:t>
      </w:r>
    </w:p>
    <w:p w14:paraId="222A7515" w14:textId="51DA7561" w:rsidR="000B3DA9" w:rsidRDefault="000B3DA9" w:rsidP="004C7D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ECB46" w14:textId="77777777" w:rsidR="000B3DA9" w:rsidRPr="00E437DA" w:rsidRDefault="000B3DA9" w:rsidP="000B3DA9">
      <w:pPr>
        <w:jc w:val="both"/>
        <w:rPr>
          <w:rFonts w:ascii="Times New Roman" w:hAnsi="Times New Roman" w:cs="Times New Roman"/>
          <w:sz w:val="24"/>
          <w:szCs w:val="24"/>
        </w:rPr>
      </w:pPr>
      <w:r w:rsidRPr="00E437DA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  <w:r w:rsidRPr="000B3D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E991FEF" w14:textId="77777777" w:rsidR="000B3DA9" w:rsidRDefault="000B3DA9" w:rsidP="000B3D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Η </w:t>
      </w:r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παρ. 9 </w:t>
      </w:r>
      <w:proofErr w:type="spellStart"/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Άρ</w:t>
      </w:r>
      <w:proofErr w:type="spellEnd"/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. 221 Ν. 4412/2016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(όπως </w:t>
      </w:r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διαμορφώθηκε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μ</w:t>
      </w:r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ε το άρθρο 108 Ν.4782/2021,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 </w:t>
      </w:r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ΦΕΚ Α` 36/09.03.2021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),</w:t>
      </w:r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 περιλαμβάνει ειδικές προβλέψεις που εφαρμόζονται στις δημόσιες συμβάσεις μελετών και παροχής τεχνικών υπηρεσιών και λοιπών συναφών υπηρεσιών.</w:t>
      </w:r>
    </w:p>
    <w:p w14:paraId="136AF60F" w14:textId="77777777" w:rsidR="000B3DA9" w:rsidRDefault="000B3DA9" w:rsidP="000B3D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Σύμφωνα με την Α-45 Γνώμη ΕΑΑΔΗΣΥ, </w:t>
      </w:r>
      <w:bookmarkStart w:id="0" w:name="_Hlk85016053"/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μ</w:t>
      </w:r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ε την τροποποίηση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τ</w:t>
      </w:r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η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ς</w:t>
      </w:r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 παρ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.</w:t>
      </w:r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 9 </w:t>
      </w:r>
      <w:proofErr w:type="spellStart"/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Άρ</w:t>
      </w:r>
      <w:proofErr w:type="spellEnd"/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. 221 Ν. 4412/2016 καταργείται η υποχρέωση συμμετοχής στη σύνθεση των οικείων γνωμοδοτικών οργάνων ενός μέλους του </w:t>
      </w:r>
      <w:proofErr w:type="spellStart"/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Μη.Π.Υ.Δη.Συ</w:t>
      </w:r>
      <w:proofErr w:type="spellEnd"/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. που προβλέπεται στην παρ. 7, καθώς ορίζεται πως «Ειδικά στις συμβάσεις μελετών και παροχής τεχνικών υπηρεσιών και λοιπών συναφών επιστημονικών υπηρεσιών, πέραν των ανωτέρω στις παραγράφους 1 έως 6, ισχύουν και τα ακόλουθα :…..»</w:t>
      </w:r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br/>
        <w:t>α. Η τροποποιούμενη με την εξεταζόμενη διάταξη περίπτωση α’ της παραγράφου 9 ορίζει ότι η επιτροπή διαγωνισμού (τριμελής) συγκροτείται με απόφαση της αναθέτουσας αρχής μετά από δημόσια κλήρωση, αποτελούμενη από δύο τεχνικούς υπαλλήλους κατηγορίας ΠΕ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 </w:t>
      </w:r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με τους αναπληρωτές τους, εγγεγραμμένους στο </w:t>
      </w:r>
      <w:proofErr w:type="spellStart"/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Μη.Μ.Ε.Δ</w:t>
      </w:r>
      <w:proofErr w:type="spellEnd"/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. και με συναφή εμπειρία και προσόντα, ενώ σύμφωνα με τα οριζόμενα στην περ. γ’, ένα μέλος υποδεικνύεται από το ΤΕΕ.</w:t>
      </w:r>
    </w:p>
    <w:p w14:paraId="096E55F3" w14:textId="4847D9FB" w:rsidR="000B3DA9" w:rsidRDefault="000B3DA9" w:rsidP="000B3D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</w:pPr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lastRenderedPageBreak/>
        <w:t xml:space="preserve">Με την τροποποίηση, </w:t>
      </w:r>
      <w:r w:rsidRPr="00E218BE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el-GR"/>
        </w:rPr>
        <w:t>δίδεται η δυνατότητα επιλογής τεχνικών υπαλλήλων όχι μόνον κατηγορίας ΠΕ, αλλά και ΤΕ,</w:t>
      </w:r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 </w:t>
      </w:r>
      <w:r w:rsidRPr="00E437DA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 xml:space="preserve"> </w:t>
      </w:r>
      <w:r w:rsidRPr="00E218BE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ενώ εξαλείφεται η απαίτηση για δημόσια κλήρωση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  <w:t>.</w:t>
      </w:r>
    </w:p>
    <w:p w14:paraId="0F39DB89" w14:textId="77777777" w:rsidR="00417F62" w:rsidRPr="00417F62" w:rsidRDefault="00417F62" w:rsidP="00417F62">
      <w:pPr>
        <w:spacing w:line="256" w:lineRule="auto"/>
        <w:jc w:val="both"/>
        <w:rPr>
          <w:rFonts w:ascii="Calibri" w:eastAsia="Times New Roman" w:hAnsi="Calibri" w:cs="Calibri"/>
          <w:lang w:eastAsia="el-GR"/>
        </w:rPr>
      </w:pPr>
      <w:r w:rsidRPr="00417F62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</w:t>
      </w:r>
    </w:p>
    <w:p w14:paraId="39A7D4BC" w14:textId="77777777" w:rsidR="00417F62" w:rsidRPr="00417F62" w:rsidRDefault="00417F62" w:rsidP="00417F62">
      <w:pPr>
        <w:spacing w:line="256" w:lineRule="auto"/>
        <w:jc w:val="both"/>
        <w:rPr>
          <w:rFonts w:ascii="Calibri" w:eastAsia="Times New Roman" w:hAnsi="Calibri" w:cs="Calibri"/>
          <w:lang w:eastAsia="el-GR"/>
        </w:rPr>
      </w:pPr>
      <w:r w:rsidRPr="00417F62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ΖΗΣΗΣ ΠΑΠΑΣΤΑΜΑΤΗΣ</w:t>
      </w:r>
    </w:p>
    <w:p w14:paraId="76991273" w14:textId="77777777" w:rsidR="00417F62" w:rsidRPr="00417F62" w:rsidRDefault="00417F62" w:rsidP="00417F62">
      <w:pPr>
        <w:spacing w:line="256" w:lineRule="auto"/>
        <w:jc w:val="both"/>
        <w:rPr>
          <w:rFonts w:ascii="Calibri" w:eastAsia="Times New Roman" w:hAnsi="Calibri" w:cs="Calibri"/>
          <w:lang w:eastAsia="el-GR"/>
        </w:rPr>
      </w:pPr>
      <w:hyperlink r:id="rId4" w:tgtFrame="_blank" w:history="1">
        <w:proofErr w:type="spellStart"/>
        <w:r w:rsidRPr="00417F62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dimosies</w:t>
        </w:r>
        <w:proofErr w:type="spellEnd"/>
        <w:r w:rsidRPr="00417F62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-</w:t>
        </w:r>
        <w:proofErr w:type="spellStart"/>
        <w:r w:rsidRPr="00417F62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symvaseis</w:t>
        </w:r>
        <w:proofErr w:type="spellEnd"/>
        <w:r w:rsidRPr="00417F62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eastAsia="el-GR"/>
          </w:rPr>
          <w:t>.</w:t>
        </w:r>
        <w:r w:rsidRPr="00417F62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4"/>
            <w:szCs w:val="24"/>
            <w:u w:val="single"/>
            <w:lang w:val="en-US" w:eastAsia="el-GR"/>
          </w:rPr>
          <w:t>gr</w:t>
        </w:r>
      </w:hyperlink>
    </w:p>
    <w:p w14:paraId="6965C408" w14:textId="77777777" w:rsidR="00417F62" w:rsidRPr="00417F62" w:rsidRDefault="00417F62" w:rsidP="00417F62">
      <w:pPr>
        <w:spacing w:line="256" w:lineRule="auto"/>
        <w:jc w:val="both"/>
        <w:rPr>
          <w:rFonts w:ascii="Calibri" w:eastAsia="Times New Roman" w:hAnsi="Calibri" w:cs="Calibri"/>
          <w:lang w:eastAsia="el-GR"/>
        </w:rPr>
      </w:pPr>
      <w:r w:rsidRPr="00417F6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email</w:t>
      </w:r>
      <w:r w:rsidRPr="00417F62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:</w:t>
      </w:r>
      <w:r w:rsidRPr="00417F62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 </w: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fldChar w:fldCharType="begin"/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 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HYPERLINK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 "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mailto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: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zpapastamatis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@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gmail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.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com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>" \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t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 "_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instrText>blank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el-GR"/>
        </w:rPr>
        <w:instrText xml:space="preserve">" </w:instrTex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fldChar w:fldCharType="separate"/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 w:eastAsia="el-GR"/>
        </w:rPr>
        <w:t>zpapastamatis</w: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l-GR"/>
        </w:rPr>
        <w:t>@</w: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 w:eastAsia="el-GR"/>
        </w:rPr>
        <w:t>gmail</w: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eastAsia="el-GR"/>
        </w:rPr>
        <w:t>.</w: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lang w:val="en-US" w:eastAsia="el-GR"/>
        </w:rPr>
        <w:t>com</w:t>
      </w:r>
      <w:r w:rsidRPr="00417F6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val="en-US" w:eastAsia="el-GR"/>
        </w:rPr>
        <w:fldChar w:fldCharType="end"/>
      </w:r>
    </w:p>
    <w:p w14:paraId="078258EA" w14:textId="001E434C" w:rsidR="00417F62" w:rsidRPr="00E218BE" w:rsidRDefault="00417F62" w:rsidP="00417F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el-GR"/>
        </w:rPr>
      </w:pPr>
      <w:proofErr w:type="spellStart"/>
      <w:r w:rsidRPr="00417F62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417F62">
        <w:rPr>
          <w:rFonts w:ascii="Times New Roman" w:eastAsia="Times New Roman" w:hAnsi="Times New Roman" w:cs="Times New Roman"/>
          <w:sz w:val="24"/>
          <w:szCs w:val="24"/>
          <w:lang w:eastAsia="el-GR"/>
        </w:rPr>
        <w:t>. Επικοινωνίας :</w:t>
      </w:r>
      <w:r w:rsidRPr="00417F6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6945558980</w:t>
      </w:r>
    </w:p>
    <w:bookmarkEnd w:id="0"/>
    <w:sectPr w:rsidR="00417F62" w:rsidRPr="00E21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C0"/>
    <w:rsid w:val="000B3DA9"/>
    <w:rsid w:val="0015713C"/>
    <w:rsid w:val="00417F62"/>
    <w:rsid w:val="004C7DC0"/>
    <w:rsid w:val="00931CEE"/>
    <w:rsid w:val="00E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12A6"/>
  <w15:chartTrackingRefBased/>
  <w15:docId w15:val="{44B63829-2A26-41B8-8B5E-4016C730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C7DC0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4C7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mosies-symvasei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Ζήσης Παπασταμάτης</cp:lastModifiedBy>
  <cp:revision>5</cp:revision>
  <dcterms:created xsi:type="dcterms:W3CDTF">2022-11-01T11:41:00Z</dcterms:created>
  <dcterms:modified xsi:type="dcterms:W3CDTF">2025-03-21T08:00:00Z</dcterms:modified>
</cp:coreProperties>
</file>