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846F" w14:textId="31949580" w:rsidR="00E347EB" w:rsidRDefault="007C72A2" w:rsidP="00E34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7C72A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347EB" w:rsidRPr="008E4E6F">
        <w:rPr>
          <w:rFonts w:ascii="Times New Roman" w:hAnsi="Times New Roman" w:cs="Times New Roman"/>
          <w:b/>
          <w:bCs/>
          <w:sz w:val="24"/>
          <w:szCs w:val="24"/>
        </w:rPr>
        <w:t xml:space="preserve">ΣΣ 15% σε έργο </w:t>
      </w:r>
    </w:p>
    <w:p w14:paraId="15AB7AE9" w14:textId="3E2A2419" w:rsidR="007C72A2" w:rsidRPr="007C72A2" w:rsidRDefault="007C72A2" w:rsidP="007C72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2A2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 w:rsidRPr="007C72A2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15</w:t>
      </w:r>
      <w:r w:rsidRPr="007C72A2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1</w:t>
      </w:r>
      <w:r w:rsidRPr="007C72A2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0/202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2</w:t>
      </w:r>
    </w:p>
    <w:p w14:paraId="2C381915" w14:textId="77777777" w:rsidR="007C72A2" w:rsidRPr="008E4E6F" w:rsidRDefault="007C72A2" w:rsidP="00E34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5A16A" w14:textId="40417538" w:rsidR="007C72A2" w:rsidRPr="007C72A2" w:rsidRDefault="007C72A2" w:rsidP="007C72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Ερώτ</w:t>
      </w:r>
      <w:r w:rsidRPr="008E4E6F">
        <w:rPr>
          <w:rFonts w:ascii="Times New Roman" w:hAnsi="Times New Roman" w:cs="Times New Roman"/>
          <w:b/>
          <w:bCs/>
          <w:sz w:val="24"/>
          <w:szCs w:val="24"/>
        </w:rPr>
        <w:t>ηση</w:t>
      </w:r>
      <w:r w:rsidRPr="007C72A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58AD93C" w14:textId="18E5D85D" w:rsidR="00E347EB" w:rsidRPr="008E4E6F" w:rsidRDefault="008E4E6F" w:rsidP="00E34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</w:t>
      </w:r>
      <w:r w:rsidR="00E347EB" w:rsidRPr="008E4E6F">
        <w:rPr>
          <w:rFonts w:ascii="Times New Roman" w:hAnsi="Times New Roman" w:cs="Times New Roman"/>
          <w:sz w:val="24"/>
          <w:szCs w:val="24"/>
        </w:rPr>
        <w:t xml:space="preserve">χουμε προσκαλέσει ένα ανάδοχο για την </w:t>
      </w:r>
      <w:r w:rsidR="00E347EB" w:rsidRPr="008E4E6F">
        <w:rPr>
          <w:rFonts w:ascii="Times New Roman" w:hAnsi="Times New Roman" w:cs="Times New Roman"/>
          <w:b/>
          <w:bCs/>
          <w:sz w:val="24"/>
          <w:szCs w:val="24"/>
        </w:rPr>
        <w:t xml:space="preserve">Υπογραφή Επέκτασης Σύμβασης σε ΑΠΕ και Επέκταση (15%) σε έργο που εκτελείται. </w:t>
      </w:r>
    </w:p>
    <w:p w14:paraId="408F2B36" w14:textId="0F2A0589" w:rsidR="00E347EB" w:rsidRPr="008E4E6F" w:rsidRDefault="00E347EB" w:rsidP="00E347EB">
      <w:pPr>
        <w:jc w:val="both"/>
        <w:rPr>
          <w:rFonts w:ascii="Times New Roman" w:hAnsi="Times New Roman" w:cs="Times New Roman"/>
          <w:sz w:val="24"/>
          <w:szCs w:val="24"/>
        </w:rPr>
      </w:pPr>
      <w:r w:rsidRPr="008E4E6F">
        <w:rPr>
          <w:rFonts w:ascii="Times New Roman" w:hAnsi="Times New Roman" w:cs="Times New Roman"/>
          <w:sz w:val="24"/>
          <w:szCs w:val="24"/>
        </w:rPr>
        <w:t xml:space="preserve">Μετά την αποστολή της Πρόσκλησης σε αυτόν, δεν έρχεται να υπογράψει την σύμβαση και </w:t>
      </w:r>
      <w:r w:rsidR="00081045" w:rsidRPr="008E4E6F">
        <w:rPr>
          <w:rFonts w:ascii="Times New Roman" w:hAnsi="Times New Roman" w:cs="Times New Roman"/>
          <w:sz w:val="24"/>
          <w:szCs w:val="24"/>
        </w:rPr>
        <w:t xml:space="preserve"> </w:t>
      </w:r>
      <w:r w:rsidRPr="008E4E6F">
        <w:rPr>
          <w:rFonts w:ascii="Times New Roman" w:hAnsi="Times New Roman" w:cs="Times New Roman"/>
          <w:sz w:val="24"/>
          <w:szCs w:val="24"/>
        </w:rPr>
        <w:t>επικαλείται λόγους ανωτέρου βίας</w:t>
      </w:r>
      <w:r w:rsidR="00A6188D" w:rsidRPr="008E4E6F">
        <w:rPr>
          <w:rFonts w:ascii="Times New Roman" w:hAnsi="Times New Roman" w:cs="Times New Roman"/>
          <w:sz w:val="24"/>
          <w:szCs w:val="24"/>
        </w:rPr>
        <w:t>.</w:t>
      </w:r>
    </w:p>
    <w:p w14:paraId="06E99BB2" w14:textId="77777777" w:rsidR="00E347EB" w:rsidRPr="008E4E6F" w:rsidRDefault="00E347EB" w:rsidP="00E347EB">
      <w:pPr>
        <w:jc w:val="both"/>
        <w:rPr>
          <w:rFonts w:ascii="Times New Roman" w:hAnsi="Times New Roman" w:cs="Times New Roman"/>
          <w:sz w:val="24"/>
          <w:szCs w:val="24"/>
        </w:rPr>
      </w:pPr>
      <w:r w:rsidRPr="008E4E6F">
        <w:rPr>
          <w:rFonts w:ascii="Times New Roman" w:hAnsi="Times New Roman" w:cs="Times New Roman"/>
          <w:sz w:val="24"/>
          <w:szCs w:val="24"/>
        </w:rPr>
        <w:t>Έχει κάνει ένσταση στην πρόσκληση της Υπηρεσίας</w:t>
      </w:r>
    </w:p>
    <w:p w14:paraId="5A3A8C98" w14:textId="77777777" w:rsidR="00E347EB" w:rsidRPr="008E4E6F" w:rsidRDefault="00E347EB" w:rsidP="000810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E6F">
        <w:rPr>
          <w:rFonts w:ascii="Times New Roman" w:hAnsi="Times New Roman" w:cs="Times New Roman"/>
          <w:sz w:val="24"/>
          <w:szCs w:val="24"/>
        </w:rPr>
        <w:t xml:space="preserve">Αυτό εκδικάζεται </w:t>
      </w:r>
      <w:proofErr w:type="spellStart"/>
      <w:r w:rsidRPr="008E4E6F">
        <w:rPr>
          <w:rFonts w:ascii="Times New Roman" w:hAnsi="Times New Roman" w:cs="Times New Roman"/>
          <w:sz w:val="24"/>
          <w:szCs w:val="24"/>
        </w:rPr>
        <w:t>απο</w:t>
      </w:r>
      <w:proofErr w:type="spellEnd"/>
      <w:r w:rsidRPr="008E4E6F">
        <w:rPr>
          <w:rFonts w:ascii="Times New Roman" w:hAnsi="Times New Roman" w:cs="Times New Roman"/>
          <w:sz w:val="24"/>
          <w:szCs w:val="24"/>
        </w:rPr>
        <w:t xml:space="preserve"> το Τεχνικό Συμβούλιο της Περιφέρειας;</w:t>
      </w:r>
    </w:p>
    <w:p w14:paraId="43E60FAF" w14:textId="5A23189B" w:rsidR="009200CD" w:rsidRPr="008E4E6F" w:rsidRDefault="00E347EB" w:rsidP="00E347EB">
      <w:pPr>
        <w:jc w:val="both"/>
        <w:rPr>
          <w:rFonts w:ascii="Times New Roman" w:hAnsi="Times New Roman" w:cs="Times New Roman"/>
          <w:sz w:val="24"/>
          <w:szCs w:val="24"/>
        </w:rPr>
      </w:pPr>
      <w:r w:rsidRPr="008E4E6F">
        <w:rPr>
          <w:rFonts w:ascii="Times New Roman" w:hAnsi="Times New Roman" w:cs="Times New Roman"/>
          <w:sz w:val="24"/>
          <w:szCs w:val="24"/>
        </w:rPr>
        <w:t xml:space="preserve">Η επιχείρηση είναι ΟΕ και </w:t>
      </w:r>
      <w:proofErr w:type="spellStart"/>
      <w:r w:rsidRPr="008E4E6F">
        <w:rPr>
          <w:rFonts w:ascii="Times New Roman" w:hAnsi="Times New Roman" w:cs="Times New Roman"/>
          <w:sz w:val="24"/>
          <w:szCs w:val="24"/>
        </w:rPr>
        <w:t>ειναι</w:t>
      </w:r>
      <w:proofErr w:type="spellEnd"/>
      <w:r w:rsidRPr="008E4E6F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Pr="008E4E6F">
        <w:rPr>
          <w:rFonts w:ascii="Times New Roman" w:hAnsi="Times New Roman" w:cs="Times New Roman"/>
          <w:sz w:val="24"/>
          <w:szCs w:val="24"/>
        </w:rPr>
        <w:t>ενα</w:t>
      </w:r>
      <w:proofErr w:type="spellEnd"/>
      <w:r w:rsidRPr="008E4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E6F">
        <w:rPr>
          <w:rFonts w:ascii="Times New Roman" w:hAnsi="Times New Roman" w:cs="Times New Roman"/>
          <w:sz w:val="24"/>
          <w:szCs w:val="24"/>
        </w:rPr>
        <w:t>απο</w:t>
      </w:r>
      <w:proofErr w:type="spellEnd"/>
      <w:r w:rsidRPr="008E4E6F">
        <w:rPr>
          <w:rFonts w:ascii="Times New Roman" w:hAnsi="Times New Roman" w:cs="Times New Roman"/>
          <w:sz w:val="24"/>
          <w:szCs w:val="24"/>
        </w:rPr>
        <w:t xml:space="preserve"> τα δυο μέλη, το δεύτερο μέλος είχε </w:t>
      </w:r>
      <w:proofErr w:type="spellStart"/>
      <w:r w:rsidRPr="008E4E6F">
        <w:rPr>
          <w:rFonts w:ascii="Times New Roman" w:hAnsi="Times New Roman" w:cs="Times New Roman"/>
          <w:sz w:val="24"/>
          <w:szCs w:val="24"/>
        </w:rPr>
        <w:t>ενα</w:t>
      </w:r>
      <w:proofErr w:type="spellEnd"/>
      <w:r w:rsidRPr="008E4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E6F">
        <w:rPr>
          <w:rFonts w:ascii="Times New Roman" w:hAnsi="Times New Roman" w:cs="Times New Roman"/>
          <w:sz w:val="24"/>
          <w:szCs w:val="24"/>
        </w:rPr>
        <w:t>βαρή</w:t>
      </w:r>
      <w:proofErr w:type="spellEnd"/>
      <w:r w:rsidRPr="008E4E6F">
        <w:rPr>
          <w:rFonts w:ascii="Times New Roman" w:hAnsi="Times New Roman" w:cs="Times New Roman"/>
          <w:sz w:val="24"/>
          <w:szCs w:val="24"/>
        </w:rPr>
        <w:t xml:space="preserve"> ατύχημα</w:t>
      </w:r>
      <w:r w:rsidR="00081045" w:rsidRPr="008E4E6F">
        <w:rPr>
          <w:rFonts w:ascii="Times New Roman" w:hAnsi="Times New Roman" w:cs="Times New Roman"/>
          <w:sz w:val="24"/>
          <w:szCs w:val="24"/>
        </w:rPr>
        <w:t xml:space="preserve">. </w:t>
      </w:r>
      <w:r w:rsidRPr="008E4E6F">
        <w:rPr>
          <w:rFonts w:ascii="Times New Roman" w:hAnsi="Times New Roman" w:cs="Times New Roman"/>
          <w:sz w:val="24"/>
          <w:szCs w:val="24"/>
        </w:rPr>
        <w:t>Δηλαδή το θέμα της ένστασης δεν είναι τεχνικό θέμα</w:t>
      </w:r>
    </w:p>
    <w:p w14:paraId="5A44A473" w14:textId="77777777" w:rsidR="00A6188D" w:rsidRPr="008E4E6F" w:rsidRDefault="00A6188D" w:rsidP="00E34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3E939" w14:textId="3C4776FD" w:rsidR="00A6188D" w:rsidRPr="007C72A2" w:rsidRDefault="00A6188D" w:rsidP="00E34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E6F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r w:rsidRPr="007C72A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CD41AFD" w14:textId="2B9259CE" w:rsidR="00671DE7" w:rsidRPr="0046032D" w:rsidRDefault="00671DE7" w:rsidP="00A61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117101836"/>
      <w:r w:rsidRPr="004603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Γενικά</w:t>
      </w:r>
      <w:r w:rsidR="004603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περί </w:t>
      </w:r>
      <w:r w:rsidR="0046032D" w:rsidRPr="004603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ΣΣ 15%</w:t>
      </w:r>
    </w:p>
    <w:p w14:paraId="27A33EF5" w14:textId="4DF2F1F9" w:rsidR="00A6188D" w:rsidRPr="00A6188D" w:rsidRDefault="00A6188D" w:rsidP="00A61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6188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</w:t>
      </w:r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συμπληρωματική σύμβαση (ΣΣ) αφορά </w:t>
      </w:r>
      <w:proofErr w:type="gramStart"/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>εργασίες ,</w:t>
      </w:r>
      <w:proofErr w:type="gramEnd"/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η εκτέλεση των οποίων δεν προβλέπεται από την αρχική σύμβαση, όμως κρίνονται αναγκαίες για την εκτέλεση του Έργου. Συνεπώς αφορά εργασίες που πρόκειται να εκτελεσθούν. Παρά την λογική τάξη των πραγμάτων , που είναι να προηγείται χρονικά η σύναψη της ΣΣ και να έπεται η εκτέλεση και πληρωμή των εργασιών της, έχει κριθεί από τα δικαστήρια ότι η αναδρομική σύναψη συμβάσεων για εργασίες που έχουν ήδη  εκτελεσθεί είναι δυνατή και δεν αντίκειται στον Νόμο (</w:t>
      </w:r>
      <w:proofErr w:type="spellStart"/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>ΣτΕ</w:t>
      </w:r>
      <w:proofErr w:type="spellEnd"/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46/2016, </w:t>
      </w:r>
      <w:proofErr w:type="spellStart"/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>ΣτΕ</w:t>
      </w:r>
      <w:proofErr w:type="spellEnd"/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3120/2115). </w:t>
      </w:r>
    </w:p>
    <w:p w14:paraId="3CB2F679" w14:textId="77777777" w:rsidR="00A6188D" w:rsidRPr="00A6188D" w:rsidRDefault="00A6188D" w:rsidP="00A61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618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Η Διαδικασία υπογραφής της συμπληρωματικής σύμβασης </w:t>
      </w:r>
    </w:p>
    <w:p w14:paraId="38A66603" w14:textId="662B6018" w:rsidR="00A6188D" w:rsidRPr="00A6188D" w:rsidRDefault="00A6188D" w:rsidP="00A61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Η εκτέλεση των συμπληρωματικών εργασιών ακολουθεί , με βάση το ισχύον θεσμικό πλαίσιο, την σύναψη της συμπληρωματικής σύμβασης. Αν συντρέχει νόμιμος λόγος σύναψης συμπληρωματικής σύμβασης, (Σ.Σ.) ο κύριος του έργου συντάσσει Ανακεφαλαιωτικό Πίνακα Εργασιών (Α.Π.Ε.), που ανακεφαλαιώνει τις ποσότητες των εργασιών, </w:t>
      </w:r>
      <w:r w:rsidRPr="00A618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ο οποίος συνυπογράφεται (με επιφύλαξη ή χωρίς) από τον ανάδοχο</w:t>
      </w:r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και υποβάλλεται στην Προϊσταμένη Αρχή για έγκριση. Οι Συμπληρωματικές Συμβάσεις υπάγονται στον </w:t>
      </w:r>
      <w:proofErr w:type="spellStart"/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>προσυμβατικό</w:t>
      </w:r>
      <w:proofErr w:type="spellEnd"/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> έλεγχο του Ελεγκτικού Συνεδρίου</w:t>
      </w:r>
      <w:r w:rsidR="008E4E6F" w:rsidRPr="008E4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με τις προϋποθέσεις του Νέου Νόμου που διέπει τις διατάξεις και τον Κανονισμό του (αναλόγως του ύψους αφενός της αρχικής, αφετέρου της ΣΣ).</w:t>
      </w:r>
    </w:p>
    <w:p w14:paraId="6967C05E" w14:textId="77777777" w:rsidR="008E4E6F" w:rsidRPr="008E4E6F" w:rsidRDefault="008E4E6F" w:rsidP="008E4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u w:val="double"/>
          <w:lang w:eastAsia="zh-CN"/>
        </w:rPr>
      </w:pPr>
      <w:r w:rsidRPr="008E4E6F">
        <w:rPr>
          <w:rFonts w:ascii="Times New Roman" w:hAnsi="Times New Roman" w:cs="Times New Roman"/>
          <w:b/>
          <w:sz w:val="24"/>
          <w:szCs w:val="24"/>
          <w:u w:val="double"/>
          <w:lang w:eastAsia="zh-CN"/>
        </w:rPr>
        <w:t xml:space="preserve">Διευκρινίσεις επί της διαδικασίας : </w:t>
      </w:r>
    </w:p>
    <w:p w14:paraId="4C4BCB7C" w14:textId="77777777" w:rsidR="008E4E6F" w:rsidRPr="008E4E6F" w:rsidRDefault="008E4E6F" w:rsidP="008E4E6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2CA3F1F" w14:textId="77777777" w:rsidR="008E4E6F" w:rsidRPr="008E4E6F" w:rsidRDefault="008E4E6F" w:rsidP="008E4E6F">
      <w:pPr>
        <w:pStyle w:val="-HTML"/>
        <w:numPr>
          <w:ilvl w:val="0"/>
          <w:numId w:val="4"/>
        </w:numPr>
        <w:shd w:val="clear" w:color="auto" w:fill="FFFFFF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4E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Ο ανάδοχος του Έργου </w:t>
      </w:r>
      <w:r w:rsidRPr="008E4E6F">
        <w:rPr>
          <w:rFonts w:ascii="Times New Roman" w:hAnsi="Times New Roman" w:cs="Times New Roman"/>
          <w:sz w:val="24"/>
          <w:szCs w:val="24"/>
          <w:lang w:eastAsia="zh-CN"/>
        </w:rPr>
        <w:t>υποχρε</w:t>
      </w:r>
      <w:r w:rsidRPr="008E4E6F">
        <w:rPr>
          <w:rFonts w:ascii="Times New Roman" w:eastAsia="SimSun" w:hAnsi="Times New Roman" w:cs="Times New Roman"/>
          <w:sz w:val="24"/>
          <w:szCs w:val="24"/>
          <w:lang w:eastAsia="zh-CN"/>
        </w:rPr>
        <w:t>ο</w:t>
      </w:r>
      <w:r w:rsidRPr="008E4E6F">
        <w:rPr>
          <w:rFonts w:ascii="Times New Roman" w:hAnsi="Times New Roman" w:cs="Times New Roman"/>
          <w:sz w:val="24"/>
          <w:szCs w:val="24"/>
          <w:lang w:eastAsia="zh-CN"/>
        </w:rPr>
        <w:t>ύται</w:t>
      </w:r>
      <w:r w:rsidRPr="008E4E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E4E6F">
        <w:rPr>
          <w:rFonts w:ascii="Times New Roman" w:hAnsi="Times New Roman" w:cs="Times New Roman"/>
          <w:sz w:val="24"/>
          <w:szCs w:val="24"/>
          <w:lang w:eastAsia="zh-CN"/>
        </w:rPr>
        <w:t>στην εκτέλε</w:t>
      </w:r>
      <w:r w:rsidRPr="008E4E6F">
        <w:rPr>
          <w:rFonts w:ascii="Times New Roman" w:eastAsia="SimSun" w:hAnsi="Times New Roman" w:cs="Times New Roman"/>
          <w:sz w:val="24"/>
          <w:szCs w:val="24"/>
          <w:lang w:eastAsia="zh-CN"/>
        </w:rPr>
        <w:t>σ</w:t>
      </w:r>
      <w:r w:rsidRPr="008E4E6F">
        <w:rPr>
          <w:rFonts w:ascii="Times New Roman" w:hAnsi="Times New Roman" w:cs="Times New Roman"/>
          <w:sz w:val="24"/>
          <w:szCs w:val="24"/>
          <w:lang w:eastAsia="zh-CN"/>
        </w:rPr>
        <w:t>η</w:t>
      </w:r>
      <w:r w:rsidRPr="008E4E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τ</w:t>
      </w:r>
      <w:r w:rsidRPr="008E4E6F">
        <w:rPr>
          <w:rFonts w:ascii="Times New Roman" w:hAnsi="Times New Roman" w:cs="Times New Roman"/>
          <w:sz w:val="24"/>
          <w:szCs w:val="24"/>
          <w:lang w:eastAsia="zh-CN"/>
        </w:rPr>
        <w:t>ων εν λόγω «Επειγουσών και απρόβλεπτων πρόσθετων εργασιών» (με</w:t>
      </w:r>
      <w:r w:rsidRPr="008E4E6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έγγραφη ή, σε άκρως επείγουσες περιπτώσεις, προφορική εντολή της υπηρεσίας προς τον ανάδοχο του αρχικού </w:t>
      </w:r>
      <w:r w:rsidRPr="008E4E6F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έργου για την εκτέλεση των εργασιών, η οποία καταχωρείται στο ημερολόγιο αυτού) (</w:t>
      </w:r>
      <w:r w:rsidRPr="008E4E6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672/2012 ΕΣ (</w:t>
      </w:r>
      <w:proofErr w:type="spellStart"/>
      <w:r w:rsidRPr="008E4E6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Τμ</w:t>
      </w:r>
      <w:proofErr w:type="spellEnd"/>
      <w:r w:rsidRPr="008E4E6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 VI))</w:t>
      </w:r>
    </w:p>
    <w:p w14:paraId="73E45164" w14:textId="77777777" w:rsidR="008E4E6F" w:rsidRPr="008E4E6F" w:rsidRDefault="008E4E6F" w:rsidP="008E4E6F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4E6F">
        <w:rPr>
          <w:rFonts w:ascii="Times New Roman" w:hAnsi="Times New Roman" w:cs="Times New Roman"/>
          <w:sz w:val="24"/>
          <w:szCs w:val="24"/>
          <w:lang w:eastAsia="zh-CN"/>
        </w:rPr>
        <w:t xml:space="preserve">Οι εν λόγω εργασίες επιτρέπεται να περιλαμβάνονται στις σχετικές πιστοποιήσεις και πριν από την έγκριση Ανακεφαλαιωτικού Πίνακα Εργασιών </w:t>
      </w:r>
    </w:p>
    <w:p w14:paraId="4FDBB844" w14:textId="30021B7B" w:rsidR="00736993" w:rsidRPr="00736993" w:rsidRDefault="00736993" w:rsidP="00736993">
      <w:pPr>
        <w:pStyle w:val="Web"/>
        <w:numPr>
          <w:ilvl w:val="0"/>
          <w:numId w:val="5"/>
        </w:numPr>
        <w:jc w:val="both"/>
        <w:rPr>
          <w:rFonts w:eastAsiaTheme="minorHAnsi"/>
          <w:lang w:val="el-GR"/>
        </w:rPr>
      </w:pPr>
      <w:r w:rsidRPr="00736993">
        <w:rPr>
          <w:rFonts w:eastAsiaTheme="minorHAnsi"/>
          <w:lang w:val="el-GR"/>
        </w:rPr>
        <w:t>Για το ζήτημα του επιτρεπτού της σύναψης συμπληρωματικής σύμβασης η νομολογία προέρχεται κυρίως από το Ελεγκτικό Συνέδριο το οποίο αποφαίνεται κυρίως για την συνδρομή απρόβλεπτης περίστασης για την οποία η αναθέτουσα αρχή δεν έχει ευθύνη. Ενδεικτικά με σειρά αποφάσεων του </w:t>
      </w:r>
      <w:proofErr w:type="spellStart"/>
      <w:r w:rsidRPr="00736993">
        <w:rPr>
          <w:rFonts w:eastAsiaTheme="minorHAnsi"/>
          <w:lang w:val="el-GR"/>
        </w:rPr>
        <w:t>ΕλΣυν</w:t>
      </w:r>
      <w:proofErr w:type="spellEnd"/>
      <w:r w:rsidRPr="00736993">
        <w:rPr>
          <w:rFonts w:eastAsiaTheme="minorHAnsi"/>
          <w:lang w:val="el-GR"/>
        </w:rPr>
        <w:t xml:space="preserve"> (ενδεικτικά </w:t>
      </w:r>
      <w:hyperlink r:id="rId5" w:tgtFrame="https://4412.gr/blog/law_explanation/327792/_blank" w:history="1">
        <w:r w:rsidRPr="00736993">
          <w:rPr>
            <w:rFonts w:eastAsiaTheme="minorHAnsi"/>
            <w:lang w:val="el-GR"/>
          </w:rPr>
          <w:t>20</w:t>
        </w:r>
      </w:hyperlink>
      <w:r w:rsidRPr="00736993">
        <w:rPr>
          <w:rFonts w:eastAsiaTheme="minorHAnsi"/>
          <w:lang w:val="el-GR"/>
        </w:rPr>
        <w:t xml:space="preserve">, </w:t>
      </w:r>
      <w:hyperlink r:id="rId6" w:tgtFrame="https://4412.gr/blog/law_explanation/327792/_blank" w:history="1">
        <w:r w:rsidRPr="00736993">
          <w:rPr>
            <w:rFonts w:eastAsiaTheme="minorHAnsi"/>
            <w:lang w:val="el-GR"/>
          </w:rPr>
          <w:t>11/08Τμ. VII</w:t>
        </w:r>
      </w:hyperlink>
      <w:r w:rsidRPr="00736993">
        <w:rPr>
          <w:rFonts w:eastAsiaTheme="minorHAnsi"/>
          <w:lang w:val="el-GR"/>
        </w:rPr>
        <w:t>) </w:t>
      </w:r>
      <w:r w:rsidRPr="00736993">
        <w:rPr>
          <w:rFonts w:eastAsiaTheme="minorHAnsi"/>
          <w:b/>
          <w:bCs/>
          <w:lang w:val="el-GR"/>
        </w:rPr>
        <w:t>κρίθηκε ότι της υπογραφής της συμπληρωματικής συμβάσεως προηγείται γνωμοδότηση του Τεχνικού Συμβουλίου</w:t>
      </w:r>
      <w:r w:rsidRPr="00736993">
        <w:rPr>
          <w:lang w:val="el-GR"/>
        </w:rPr>
        <w:t xml:space="preserve"> </w:t>
      </w:r>
      <w:r w:rsidRPr="007C72A2">
        <w:rPr>
          <w:lang w:val="el-GR"/>
        </w:rPr>
        <w:t xml:space="preserve">(στην περίπτωσή σας </w:t>
      </w:r>
      <w:r w:rsidRPr="007C72A2">
        <w:rPr>
          <w:rFonts w:eastAsiaTheme="minorHAnsi"/>
          <w:b/>
          <w:bCs/>
          <w:u w:val="single"/>
          <w:lang w:val="el-GR"/>
        </w:rPr>
        <w:t>Τεχνικό Συμβούλιο της Περιφέρειας</w:t>
      </w:r>
      <w:r w:rsidRPr="007C72A2">
        <w:rPr>
          <w:rFonts w:eastAsiaTheme="minorHAnsi"/>
          <w:b/>
          <w:bCs/>
          <w:lang w:val="el-GR"/>
        </w:rPr>
        <w:t>)</w:t>
      </w:r>
      <w:r w:rsidRPr="00736993">
        <w:rPr>
          <w:rFonts w:eastAsiaTheme="minorHAnsi"/>
          <w:b/>
          <w:bCs/>
          <w:lang w:val="el-GR"/>
        </w:rPr>
        <w:t xml:space="preserve"> σχετικά με το κατεπείγον</w:t>
      </w:r>
      <w:r w:rsidRPr="00736993">
        <w:rPr>
          <w:rFonts w:eastAsiaTheme="minorHAnsi"/>
          <w:lang w:val="el-GR"/>
        </w:rPr>
        <w:t xml:space="preserve"> και τις λοιπές απαραίτητες προϋποθέσεις της ανάθεσης των συμπληρωματικών εργασιών.  </w:t>
      </w:r>
    </w:p>
    <w:p w14:paraId="19134DF6" w14:textId="77777777" w:rsidR="008E4E6F" w:rsidRPr="008E4E6F" w:rsidRDefault="008E4E6F" w:rsidP="008E4E6F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4E6F">
        <w:rPr>
          <w:rFonts w:ascii="Times New Roman" w:hAnsi="Times New Roman" w:cs="Times New Roman"/>
          <w:sz w:val="24"/>
          <w:szCs w:val="24"/>
          <w:lang w:eastAsia="zh-CN"/>
        </w:rPr>
        <w:t xml:space="preserve">Οι εν λόγω εργασίες μετά την επιμέτρησή τους και πληρωμή τους συμπεριλαμβάνονται και ενσωματώνονται σε μελλοντικό (συνήθως στον επόμενο) Ανακεφαλαιωτικό Πίνακα Εργασιών. </w:t>
      </w:r>
    </w:p>
    <w:p w14:paraId="052B0AC4" w14:textId="77777777" w:rsidR="008E4E6F" w:rsidRPr="008E4E6F" w:rsidRDefault="008E4E6F" w:rsidP="008E4E6F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E4E6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Αιτιολόγηση : </w:t>
      </w:r>
    </w:p>
    <w:p w14:paraId="5F48C2EA" w14:textId="77777777" w:rsidR="008E4E6F" w:rsidRPr="008E4E6F" w:rsidRDefault="008E4E6F" w:rsidP="008E4E6F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4E6F">
        <w:rPr>
          <w:rFonts w:ascii="Times New Roman" w:hAnsi="Times New Roman" w:cs="Times New Roman"/>
          <w:sz w:val="24"/>
          <w:szCs w:val="24"/>
          <w:lang w:eastAsia="zh-CN"/>
        </w:rPr>
        <w:t xml:space="preserve">Η εν λόγω ευελιξία που παρέχει στο δίκαιο ο Κοινοτικός (αλλά και ο εθνικός νομοθέτης) έγκειται στο γεγονός ότι (Κ.Ο. 22 της Ε.Α.Α.ΔΗ.ΣΥ. (Σελ. 23)) τυγχάνουν συμβατικού θεμελίου καθόσον κατά πάγια τακτική θεωρείται ότι αυτές θεωρούνται </w:t>
      </w:r>
    </w:p>
    <w:p w14:paraId="056A7051" w14:textId="77777777" w:rsidR="008E4E6F" w:rsidRPr="008E4E6F" w:rsidRDefault="008E4E6F" w:rsidP="008E4E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4E6F">
        <w:rPr>
          <w:rFonts w:ascii="Times New Roman" w:hAnsi="Times New Roman" w:cs="Times New Roman"/>
          <w:sz w:val="24"/>
          <w:szCs w:val="24"/>
          <w:u w:val="double"/>
          <w:lang w:eastAsia="zh-CN"/>
        </w:rPr>
        <w:t>οι «ήσσονος αξίας» τροποποιήσεις εισάγουν</w:t>
      </w:r>
      <w:r w:rsidRPr="008E4E6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E4E6F">
        <w:rPr>
          <w:rFonts w:ascii="Times New Roman" w:hAnsi="Times New Roman" w:cs="Times New Roman"/>
          <w:b/>
          <w:sz w:val="24"/>
          <w:szCs w:val="24"/>
          <w:u w:val="double"/>
          <w:lang w:eastAsia="zh-CN"/>
        </w:rPr>
        <w:t>μικρής σημασίας μεταβολές</w:t>
      </w:r>
      <w:r w:rsidRPr="008E4E6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E4E6F">
        <w:rPr>
          <w:rFonts w:ascii="Times New Roman" w:hAnsi="Times New Roman" w:cs="Times New Roman"/>
          <w:sz w:val="24"/>
          <w:szCs w:val="24"/>
          <w:u w:val="double"/>
          <w:lang w:eastAsia="zh-CN"/>
        </w:rPr>
        <w:t>στην αρχική σύμβαση</w:t>
      </w:r>
      <w:r w:rsidRPr="008E4E6F">
        <w:rPr>
          <w:rFonts w:ascii="Times New Roman" w:hAnsi="Times New Roman" w:cs="Times New Roman"/>
          <w:sz w:val="24"/>
          <w:szCs w:val="24"/>
          <w:lang w:eastAsia="zh-CN"/>
        </w:rPr>
        <w:t xml:space="preserve"> και </w:t>
      </w:r>
    </w:p>
    <w:p w14:paraId="5F6376B7" w14:textId="77777777" w:rsidR="008E4E6F" w:rsidRPr="008E4E6F" w:rsidRDefault="008E4E6F" w:rsidP="008E4E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4E6F">
        <w:rPr>
          <w:rFonts w:ascii="Times New Roman" w:hAnsi="Times New Roman" w:cs="Times New Roman"/>
          <w:sz w:val="24"/>
          <w:szCs w:val="24"/>
          <w:lang w:eastAsia="zh-CN"/>
        </w:rPr>
        <w:t xml:space="preserve">δεν απαιτείται οποιαδήποτε άλλη ειδικότερη αιτιολόγησή τους από την αναθέτουσα αρχή, </w:t>
      </w:r>
    </w:p>
    <w:p w14:paraId="05CE3987" w14:textId="77777777" w:rsidR="008E4E6F" w:rsidRPr="008E4E6F" w:rsidRDefault="008E4E6F" w:rsidP="008E4E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4E6F">
        <w:rPr>
          <w:rFonts w:ascii="Times New Roman" w:hAnsi="Times New Roman" w:cs="Times New Roman"/>
          <w:sz w:val="24"/>
          <w:szCs w:val="24"/>
          <w:lang w:eastAsia="zh-CN"/>
        </w:rPr>
        <w:t xml:space="preserve">παρά μόνο η πλήρωση σωρευτικά των προϋποθέσεων Ι, ΙΙ και ΙΙ που αναλύονται στην περίπτωση ΣΤ’ </w:t>
      </w:r>
      <w:r w:rsidRPr="008E4E6F">
        <w:rPr>
          <w:rFonts w:ascii="Times New Roman" w:hAnsi="Times New Roman" w:cs="Times New Roman"/>
          <w:i/>
          <w:sz w:val="24"/>
          <w:szCs w:val="24"/>
          <w:lang w:eastAsia="zh-CN"/>
        </w:rPr>
        <w:t>(«ήσσονος αξίας» τροποποιήσεις).</w:t>
      </w:r>
    </w:p>
    <w:p w14:paraId="5381AADC" w14:textId="77777777" w:rsidR="008E4E6F" w:rsidRPr="008E4E6F" w:rsidRDefault="008E4E6F" w:rsidP="008E4E6F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4E6F">
        <w:rPr>
          <w:rFonts w:ascii="Times New Roman" w:hAnsi="Times New Roman" w:cs="Times New Roman"/>
          <w:b/>
          <w:sz w:val="24"/>
          <w:szCs w:val="24"/>
          <w:u w:val="double"/>
          <w:lang w:eastAsia="zh-CN"/>
        </w:rPr>
        <w:t xml:space="preserve">Και αυτό διότι  </w:t>
      </w:r>
      <w:r w:rsidRPr="008E4E6F">
        <w:rPr>
          <w:rFonts w:ascii="Times New Roman" w:hAnsi="Times New Roman" w:cs="Times New Roman"/>
          <w:sz w:val="24"/>
          <w:szCs w:val="24"/>
          <w:lang w:eastAsia="zh-CN"/>
        </w:rPr>
        <w:t>δεν απαιτείται η αναθέτουσα αρχή να επαληθεύει αν τηρούνται οι προϋποθέσεις των λοιπών επιτρεπτών περιπτώσεων τροποποίησης που αναλύθηκαν (υπό Α έως Δ) στην εν λόγω Κ.Ο. 22 ΕΑΑΔΗΣΥ.</w:t>
      </w:r>
    </w:p>
    <w:p w14:paraId="6713809D" w14:textId="77777777" w:rsidR="00A6188D" w:rsidRPr="00A6188D" w:rsidRDefault="00A6188D" w:rsidP="00A61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618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Η αναδρομική σύναψη των ΣΣ</w:t>
      </w:r>
    </w:p>
    <w:p w14:paraId="7239E657" w14:textId="60DABF16" w:rsidR="00A6188D" w:rsidRDefault="00A6188D" w:rsidP="00A61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>Στο ζήτημα της σύναψης των ΣΣ με αναδρομική ισχύ , ήτοι μετά την έναρξη , ακόμη και την περαίωση ) της εκτέλεσης των νέων εργασιών , είναι διαφορετική η Νομολογία των διοικητικών δικαστηρίων (</w:t>
      </w:r>
      <w:proofErr w:type="spellStart"/>
      <w:r w:rsidRPr="00A618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ΣτΕ</w:t>
      </w:r>
      <w:proofErr w:type="spellEnd"/>
      <w:r w:rsidRPr="00A618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3307/2005, </w:t>
      </w:r>
      <w:proofErr w:type="spellStart"/>
      <w:r w:rsidRPr="00A618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ΣτΕ</w:t>
      </w:r>
      <w:proofErr w:type="spellEnd"/>
      <w:r w:rsidRPr="00A618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595/2005, </w:t>
      </w:r>
      <w:proofErr w:type="spellStart"/>
      <w:r w:rsidRPr="00A618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ΔιΔικ</w:t>
      </w:r>
      <w:proofErr w:type="spellEnd"/>
      <w:r w:rsidRPr="00A618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19/2007</w:t>
      </w:r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κατά την οποία ναι μεν η σύνταξη και έγκριση του ΑΠΥ και του ΠΚΤΜΝΕ πρέπει κανονικά να προηγούνται της εκτέλεσης των νέων εργασιών, πλην δεν αποκλείεται η εκ των υστέρων νομιμοποίηση των εν λόγω εργασιών, με την σύνταξη και έγκριση του σχετικού ΑΠΕ, ακόμα και αν πρόκειται για εργασίες που εκτελέσθηκαν χωρίς έγγραφη διαταγή </w:t>
      </w:r>
      <w:r w:rsidRPr="00A618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(ΑΠ 1310/2007)</w:t>
      </w:r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(ακόμα και χωρίς να συντρέχουν οι προϋποθέσεις του επείγοντος – βλ. </w:t>
      </w:r>
      <w:proofErr w:type="spellStart"/>
      <w:r w:rsidRPr="00A618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ΣτΕ</w:t>
      </w:r>
      <w:proofErr w:type="spellEnd"/>
      <w:r w:rsidRPr="00A6188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(7μ.), 4162/1997, 3306/1997</w:t>
      </w:r>
      <w:r w:rsidRPr="00A6188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bookmarkEnd w:id="0"/>
    <w:p w14:paraId="4AFCF933" w14:textId="77777777" w:rsidR="007C72A2" w:rsidRPr="007C72A2" w:rsidRDefault="007C72A2" w:rsidP="007C72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7C72A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 εκτίμηση</w:t>
      </w:r>
    </w:p>
    <w:p w14:paraId="65F0F4B7" w14:textId="77777777" w:rsidR="007C72A2" w:rsidRPr="007C72A2" w:rsidRDefault="007C72A2" w:rsidP="007C72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7C72A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67E8F7F4" w14:textId="77777777" w:rsidR="007C72A2" w:rsidRPr="007C72A2" w:rsidRDefault="007C72A2" w:rsidP="007C72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hyperlink r:id="rId7" w:tgtFrame="_blank" w:history="1">
        <w:proofErr w:type="spellStart"/>
        <w:proofErr w:type="gramStart"/>
        <w:r w:rsidRPr="007C72A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Pr="007C72A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Pr="007C72A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Pr="007C72A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Pr="007C72A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  <w:proofErr w:type="gramEnd"/>
      </w:hyperlink>
    </w:p>
    <w:p w14:paraId="6F7D45EC" w14:textId="77777777" w:rsidR="007C72A2" w:rsidRPr="007C72A2" w:rsidRDefault="007C72A2" w:rsidP="007C72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proofErr w:type="gramStart"/>
      <w:r w:rsidRPr="007C72A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proofErr w:type="gramEnd"/>
      <w:r w:rsidRPr="007C72A2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7C72A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begin"/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HYPERLINK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"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mailto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: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zpapastamatis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@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gmail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.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com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" \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t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"_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blank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" </w:instrTex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separate"/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zpapastamatis</w: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>@</w: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gmail</w: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>.</w: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com</w:t>
      </w:r>
      <w:r w:rsidRPr="007C72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end"/>
      </w:r>
    </w:p>
    <w:p w14:paraId="33F0595C" w14:textId="77777777" w:rsidR="007C72A2" w:rsidRPr="007C72A2" w:rsidRDefault="007C72A2" w:rsidP="007C72A2">
      <w:pPr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proofErr w:type="spellStart"/>
      <w:r w:rsidRPr="007C72A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Τηλ</w:t>
      </w:r>
      <w:proofErr w:type="spellEnd"/>
      <w:r w:rsidRPr="007C72A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. Επικοινωνίας :</w:t>
      </w:r>
      <w:r w:rsidRPr="007C72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l-GR"/>
        </w:rPr>
        <w:t> 6945558980</w:t>
      </w:r>
    </w:p>
    <w:p w14:paraId="42E18815" w14:textId="612E6658" w:rsidR="00671DE7" w:rsidRDefault="00671DE7" w:rsidP="00A61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GoBack"/>
      <w:bookmarkEnd w:id="1"/>
    </w:p>
    <w:p w14:paraId="3246999B" w14:textId="77777777" w:rsidR="00A6188D" w:rsidRPr="00A6188D" w:rsidRDefault="00A6188D" w:rsidP="00A6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6188D" w:rsidRPr="00A61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1C2736"/>
    <w:multiLevelType w:val="singleLevel"/>
    <w:tmpl w:val="9D1C273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381B2D"/>
    <w:multiLevelType w:val="hybridMultilevel"/>
    <w:tmpl w:val="B54467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72C35"/>
    <w:multiLevelType w:val="hybridMultilevel"/>
    <w:tmpl w:val="68F2954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312A0"/>
    <w:multiLevelType w:val="hybridMultilevel"/>
    <w:tmpl w:val="8E02781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CD4128"/>
    <w:multiLevelType w:val="multilevel"/>
    <w:tmpl w:val="52CD412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519B3"/>
    <w:multiLevelType w:val="hybridMultilevel"/>
    <w:tmpl w:val="2312D1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250D1"/>
    <w:multiLevelType w:val="hybridMultilevel"/>
    <w:tmpl w:val="39B654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EB"/>
    <w:rsid w:val="00081045"/>
    <w:rsid w:val="0046032D"/>
    <w:rsid w:val="00671DE7"/>
    <w:rsid w:val="00736993"/>
    <w:rsid w:val="007C72A2"/>
    <w:rsid w:val="008E4E6F"/>
    <w:rsid w:val="009200CD"/>
    <w:rsid w:val="00A6188D"/>
    <w:rsid w:val="00C96A1C"/>
    <w:rsid w:val="00D26996"/>
    <w:rsid w:val="00E3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21DE"/>
  <w15:chartTrackingRefBased/>
  <w15:docId w15:val="{F8C1A82D-08E9-401E-96F2-8A68EB1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45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E4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E4E6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rsid w:val="0073699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mosies-symvasei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412.gr/blog/laws/%cf%80%cf%81%ce%ac%ce%be%ce%b7-112008-%cf%84%ce%bc-7/" TargetMode="External"/><Relationship Id="rId5" Type="http://schemas.openxmlformats.org/officeDocument/2006/relationships/hyperlink" Target="https://4412.gr/blog/laws/%cf%80%cf%81%ce%ac%ce%be%ce%b7-202008-%cf%84%ce%bc-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6</cp:revision>
  <dcterms:created xsi:type="dcterms:W3CDTF">2022-10-19T12:03:00Z</dcterms:created>
  <dcterms:modified xsi:type="dcterms:W3CDTF">2025-03-20T20:31:00Z</dcterms:modified>
</cp:coreProperties>
</file>