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A3E51" w14:textId="74415A19" w:rsidR="00201506" w:rsidRPr="00D518C9" w:rsidRDefault="006F3850" w:rsidP="005B5423">
      <w:pPr>
        <w:jc w:val="both"/>
        <w:rPr>
          <w:rFonts w:ascii="Times New Roman" w:hAnsi="Times New Roman" w:cs="Times New Roman"/>
          <w:b/>
          <w:bCs/>
          <w:sz w:val="24"/>
          <w:szCs w:val="24"/>
        </w:rPr>
      </w:pPr>
      <w:r w:rsidRPr="00D518C9">
        <w:rPr>
          <w:rFonts w:ascii="Times New Roman" w:hAnsi="Times New Roman" w:cs="Times New Roman"/>
          <w:b/>
          <w:bCs/>
          <w:sz w:val="24"/>
          <w:szCs w:val="24"/>
        </w:rPr>
        <w:t xml:space="preserve">Ερώτηση : </w:t>
      </w:r>
      <w:bookmarkStart w:id="0" w:name="_Hlk117867965"/>
      <w:r w:rsidR="00201506" w:rsidRPr="00D518C9">
        <w:rPr>
          <w:rFonts w:ascii="Times New Roman" w:hAnsi="Times New Roman" w:cs="Times New Roman"/>
          <w:b/>
          <w:bCs/>
          <w:sz w:val="24"/>
          <w:szCs w:val="24"/>
        </w:rPr>
        <w:t>Περίπτωση ασυνήθιστα χαμηλής προσφοράς</w:t>
      </w:r>
    </w:p>
    <w:p w14:paraId="0751C8FA" w14:textId="52D7B4D0" w:rsidR="00D518C9" w:rsidRPr="000C6BB9" w:rsidRDefault="00201506" w:rsidP="00D518C9">
      <w:pPr>
        <w:jc w:val="both"/>
        <w:rPr>
          <w:rFonts w:ascii="Times New Roman" w:eastAsia="SimSun" w:hAnsi="Times New Roman" w:cs="Times New Roman"/>
          <w:color w:val="000000"/>
          <w:sz w:val="24"/>
          <w:szCs w:val="24"/>
          <w:lang w:eastAsia="zh-CN"/>
        </w:rPr>
      </w:pPr>
      <w:r w:rsidRPr="00D518C9">
        <w:rPr>
          <w:rFonts w:ascii="Times New Roman" w:hAnsi="Times New Roman" w:cs="Times New Roman"/>
          <w:sz w:val="24"/>
          <w:szCs w:val="24"/>
        </w:rPr>
        <w:t xml:space="preserve"> </w:t>
      </w:r>
      <w:r w:rsidR="00D518C9" w:rsidRPr="000C6BB9">
        <w:rPr>
          <w:rFonts w:ascii="Times New Roman" w:eastAsia="SimSun" w:hAnsi="Times New Roman" w:cs="Times New Roman"/>
          <w:color w:val="000000"/>
          <w:sz w:val="24"/>
          <w:szCs w:val="24"/>
          <w:lang w:eastAsia="zh-CN"/>
        </w:rPr>
        <w:t xml:space="preserve">Ημ/νία υποβολής </w:t>
      </w:r>
      <w:r w:rsidR="00D518C9">
        <w:rPr>
          <w:rFonts w:ascii="Times New Roman" w:eastAsia="SimSun" w:hAnsi="Times New Roman" w:cs="Times New Roman"/>
          <w:b/>
          <w:bCs/>
          <w:i/>
          <w:iCs/>
          <w:sz w:val="24"/>
          <w:szCs w:val="24"/>
          <w:lang w:eastAsia="zh-CN"/>
        </w:rPr>
        <w:t>19</w:t>
      </w:r>
      <w:r w:rsidR="00D518C9" w:rsidRPr="000C6BB9">
        <w:rPr>
          <w:rFonts w:ascii="Times New Roman" w:eastAsia="SimSun" w:hAnsi="Times New Roman" w:cs="Times New Roman"/>
          <w:b/>
          <w:bCs/>
          <w:i/>
          <w:iCs/>
          <w:sz w:val="24"/>
          <w:szCs w:val="24"/>
          <w:lang w:eastAsia="zh-CN"/>
        </w:rPr>
        <w:t>/0</w:t>
      </w:r>
      <w:r w:rsidR="00D518C9">
        <w:rPr>
          <w:rFonts w:ascii="Times New Roman" w:eastAsia="SimSun" w:hAnsi="Times New Roman" w:cs="Times New Roman"/>
          <w:b/>
          <w:bCs/>
          <w:i/>
          <w:iCs/>
          <w:sz w:val="24"/>
          <w:szCs w:val="24"/>
          <w:lang w:eastAsia="zh-CN"/>
        </w:rPr>
        <w:t>7/2023</w:t>
      </w:r>
      <w:r w:rsidR="00D518C9" w:rsidRPr="000C6BB9">
        <w:rPr>
          <w:rFonts w:ascii="Times New Roman" w:eastAsia="SimSun" w:hAnsi="Times New Roman" w:cs="Times New Roman"/>
          <w:sz w:val="24"/>
          <w:szCs w:val="24"/>
          <w:lang w:eastAsia="zh-CN"/>
        </w:rPr>
        <w:t xml:space="preserve"> </w:t>
      </w:r>
    </w:p>
    <w:p w14:paraId="271F050A" w14:textId="4089CAEA" w:rsidR="00201506" w:rsidRPr="00D518C9" w:rsidRDefault="00201506" w:rsidP="005B5423">
      <w:pPr>
        <w:jc w:val="both"/>
        <w:rPr>
          <w:rFonts w:ascii="Times New Roman" w:hAnsi="Times New Roman" w:cs="Times New Roman"/>
          <w:sz w:val="24"/>
          <w:szCs w:val="24"/>
        </w:rPr>
      </w:pPr>
    </w:p>
    <w:p w14:paraId="227B8BDC" w14:textId="77777777" w:rsidR="005B5423" w:rsidRPr="00D518C9" w:rsidRDefault="005B5423" w:rsidP="005B5423">
      <w:pPr>
        <w:jc w:val="both"/>
        <w:rPr>
          <w:rFonts w:ascii="Times New Roman" w:hAnsi="Times New Roman" w:cs="Times New Roman"/>
          <w:sz w:val="24"/>
          <w:szCs w:val="24"/>
        </w:rPr>
      </w:pPr>
      <w:r w:rsidRPr="00D518C9">
        <w:rPr>
          <w:rFonts w:ascii="Times New Roman" w:hAnsi="Times New Roman" w:cs="Times New Roman"/>
          <w:sz w:val="24"/>
          <w:szCs w:val="24"/>
        </w:rPr>
        <w:t>Σε διαγωνισμό με ασυνήθιστα χαμηλή προσφορά μετά από πρόσκληση της Αναθέτουσας Αρχής, Οικονομικός φορέας υπέβαλλε Αιτιολογική έκθεση για την τεκμηρίωση της προσφοράς του.</w:t>
      </w:r>
    </w:p>
    <w:p w14:paraId="30902D3C" w14:textId="712C1907" w:rsidR="005B5423" w:rsidRPr="00D518C9" w:rsidRDefault="005B5423" w:rsidP="005B5423">
      <w:pPr>
        <w:jc w:val="both"/>
        <w:rPr>
          <w:rFonts w:ascii="Times New Roman" w:hAnsi="Times New Roman" w:cs="Times New Roman"/>
          <w:sz w:val="24"/>
          <w:szCs w:val="24"/>
        </w:rPr>
      </w:pPr>
      <w:r w:rsidRPr="00D518C9">
        <w:rPr>
          <w:rFonts w:ascii="Times New Roman" w:hAnsi="Times New Roman" w:cs="Times New Roman"/>
          <w:sz w:val="24"/>
          <w:szCs w:val="24"/>
        </w:rPr>
        <w:t>Η Επιτροπή διαγωνισμού, προκειμένου να αξιολογήσει την παραπάνω Αιτιολογική έκθεση, κάνοντας χρήση του άρθρου 102 του Ν. 4412/2016  ζήτησε από τον Οικονομικό φορέα να υποβάλλει διευκρινιστικά στοιχεία και κάποια παραστατικά.</w:t>
      </w:r>
    </w:p>
    <w:p w14:paraId="52BE8DAA" w14:textId="77777777" w:rsidR="005B5423" w:rsidRPr="00D518C9" w:rsidRDefault="005B5423" w:rsidP="005B5423">
      <w:pPr>
        <w:jc w:val="both"/>
        <w:rPr>
          <w:rFonts w:ascii="Times New Roman" w:hAnsi="Times New Roman" w:cs="Times New Roman"/>
          <w:sz w:val="24"/>
          <w:szCs w:val="24"/>
        </w:rPr>
      </w:pPr>
      <w:r w:rsidRPr="00D518C9">
        <w:rPr>
          <w:rFonts w:ascii="Times New Roman" w:hAnsi="Times New Roman" w:cs="Times New Roman"/>
          <w:sz w:val="24"/>
          <w:szCs w:val="24"/>
        </w:rPr>
        <w:t xml:space="preserve">Ο Οικονομικός φορέας ανταποκρίθηκε στην παραπάνω πρόσκληση, αλλά υπέβαλλε </w:t>
      </w:r>
      <w:r w:rsidRPr="00D518C9">
        <w:rPr>
          <w:rFonts w:ascii="Times New Roman" w:hAnsi="Times New Roman" w:cs="Times New Roman"/>
          <w:b/>
          <w:bCs/>
          <w:sz w:val="24"/>
          <w:szCs w:val="24"/>
        </w:rPr>
        <w:t xml:space="preserve">τις </w:t>
      </w:r>
      <w:bookmarkStart w:id="1" w:name="_GoBack"/>
      <w:r w:rsidRPr="00D518C9">
        <w:rPr>
          <w:rFonts w:ascii="Times New Roman" w:hAnsi="Times New Roman" w:cs="Times New Roman"/>
          <w:b/>
          <w:bCs/>
          <w:sz w:val="24"/>
          <w:szCs w:val="24"/>
        </w:rPr>
        <w:t>μισές διευκρινήσεις</w:t>
      </w:r>
      <w:r w:rsidRPr="00D518C9">
        <w:rPr>
          <w:rFonts w:ascii="Times New Roman" w:hAnsi="Times New Roman" w:cs="Times New Roman"/>
          <w:sz w:val="24"/>
          <w:szCs w:val="24"/>
        </w:rPr>
        <w:t xml:space="preserve"> </w:t>
      </w:r>
      <w:bookmarkEnd w:id="1"/>
      <w:r w:rsidRPr="00D518C9">
        <w:rPr>
          <w:rFonts w:ascii="Times New Roman" w:hAnsi="Times New Roman" w:cs="Times New Roman"/>
          <w:sz w:val="24"/>
          <w:szCs w:val="24"/>
        </w:rPr>
        <w:t>από αυτές που του ζητούσαμε και αναφέρει κάποια παραστατικά τα οποία δεν επισύναψε.</w:t>
      </w:r>
    </w:p>
    <w:p w14:paraId="2F466C62" w14:textId="77777777" w:rsidR="005B5423" w:rsidRPr="00D518C9" w:rsidRDefault="005B5423" w:rsidP="005B5423">
      <w:pPr>
        <w:pStyle w:val="a3"/>
        <w:numPr>
          <w:ilvl w:val="0"/>
          <w:numId w:val="1"/>
        </w:numPr>
        <w:jc w:val="both"/>
        <w:rPr>
          <w:rFonts w:ascii="Times New Roman" w:hAnsi="Times New Roman" w:cs="Times New Roman"/>
          <w:sz w:val="24"/>
          <w:szCs w:val="24"/>
        </w:rPr>
      </w:pPr>
      <w:r w:rsidRPr="00D518C9">
        <w:rPr>
          <w:rFonts w:ascii="Times New Roman" w:hAnsi="Times New Roman" w:cs="Times New Roman"/>
          <w:sz w:val="24"/>
          <w:szCs w:val="24"/>
        </w:rPr>
        <w:t>Η  Επιτροπή διαγωνισμού μπορεί να κάνει πάλι χρήση του άρθρου 102 και να του ζητήσει και τα υπόλοιπα διευκρινιστικά στοιχεία και παραστατικά που δεν υπέβαλλε ή πρέπει να τον απορρίψει?</w:t>
      </w:r>
    </w:p>
    <w:p w14:paraId="207528FD" w14:textId="77777777" w:rsidR="005B5423" w:rsidRPr="00D518C9" w:rsidRDefault="005B5423" w:rsidP="005B5423">
      <w:pPr>
        <w:pStyle w:val="a3"/>
        <w:numPr>
          <w:ilvl w:val="0"/>
          <w:numId w:val="1"/>
        </w:numPr>
        <w:jc w:val="both"/>
        <w:rPr>
          <w:rFonts w:ascii="Times New Roman" w:hAnsi="Times New Roman" w:cs="Times New Roman"/>
          <w:sz w:val="24"/>
          <w:szCs w:val="24"/>
        </w:rPr>
      </w:pPr>
      <w:r w:rsidRPr="00D518C9">
        <w:rPr>
          <w:rFonts w:ascii="Times New Roman" w:hAnsi="Times New Roman" w:cs="Times New Roman"/>
          <w:sz w:val="24"/>
          <w:szCs w:val="24"/>
        </w:rPr>
        <w:t>Σε περίπτωση απόρριψης τι γίνεται με την εγγυητική επιστολή συμμετοχής? Στη διακήρυξη αναφέρεται:</w:t>
      </w:r>
    </w:p>
    <w:p w14:paraId="1DB6BB7C" w14:textId="77777777" w:rsidR="006E3711" w:rsidRPr="00D518C9" w:rsidRDefault="005B5423" w:rsidP="006E3711">
      <w:pPr>
        <w:pStyle w:val="a3"/>
        <w:numPr>
          <w:ilvl w:val="1"/>
          <w:numId w:val="1"/>
        </w:numPr>
        <w:jc w:val="both"/>
        <w:rPr>
          <w:rFonts w:ascii="Times New Roman" w:hAnsi="Times New Roman" w:cs="Times New Roman"/>
          <w:i/>
          <w:iCs/>
          <w:sz w:val="24"/>
          <w:szCs w:val="24"/>
        </w:rPr>
      </w:pPr>
      <w:r w:rsidRPr="00D518C9">
        <w:rPr>
          <w:rFonts w:ascii="Times New Roman" w:hAnsi="Times New Roman" w:cs="Times New Roman"/>
          <w:i/>
          <w:iCs/>
          <w:sz w:val="24"/>
          <w:szCs w:val="24"/>
        </w:rPr>
        <w:t xml:space="preserve">Αν οικονομικός φορέας δεν ανταποκριθεί στη σχετική πρόσκληση του Αναθέτοντα Φορέα εντός της άνω προθεσμίας και δεν υποβάλλει εξηγήσεις, η προσφορά του απορρίπτεται ως </w:t>
      </w:r>
      <w:r w:rsidRPr="00D518C9">
        <w:rPr>
          <w:rFonts w:ascii="Times New Roman" w:hAnsi="Times New Roman" w:cs="Times New Roman"/>
          <w:b/>
          <w:bCs/>
          <w:i/>
          <w:iCs/>
          <w:sz w:val="24"/>
          <w:szCs w:val="24"/>
        </w:rPr>
        <w:t>μη κανονική</w:t>
      </w:r>
      <w:r w:rsidRPr="00D518C9">
        <w:rPr>
          <w:rFonts w:ascii="Times New Roman" w:hAnsi="Times New Roman" w:cs="Times New Roman"/>
          <w:i/>
          <w:iCs/>
          <w:sz w:val="24"/>
          <w:szCs w:val="24"/>
        </w:rPr>
        <w:t xml:space="preserve"> και καταπίπτει υπέρ του Αναθέτοντα Φορέα η εγγυητική επιστολή συμμετοχής.</w:t>
      </w:r>
    </w:p>
    <w:p w14:paraId="5CEC5A36" w14:textId="0E4239F9" w:rsidR="005B5423" w:rsidRPr="00D518C9" w:rsidRDefault="005B5423" w:rsidP="006E3711">
      <w:pPr>
        <w:pStyle w:val="a3"/>
        <w:numPr>
          <w:ilvl w:val="1"/>
          <w:numId w:val="1"/>
        </w:numPr>
        <w:jc w:val="both"/>
        <w:rPr>
          <w:rFonts w:ascii="Times New Roman" w:hAnsi="Times New Roman" w:cs="Times New Roman"/>
          <w:i/>
          <w:iCs/>
          <w:sz w:val="24"/>
          <w:szCs w:val="24"/>
        </w:rPr>
      </w:pPr>
      <w:r w:rsidRPr="00D518C9">
        <w:rPr>
          <w:rFonts w:ascii="Times New Roman" w:hAnsi="Times New Roman" w:cs="Times New Roman"/>
          <w:sz w:val="24"/>
          <w:szCs w:val="24"/>
        </w:rPr>
        <w:t>Αν οι εξηγήσεις δεν γίνουν αποδεκτές, η προσφορά απορρίπτεται, ωστόσο δεν καταπίπτει η εγγυητική επιστολή συμμετοχής¨.</w:t>
      </w:r>
    </w:p>
    <w:p w14:paraId="229F2928" w14:textId="7FCFFB80" w:rsidR="005B5423" w:rsidRPr="00D518C9" w:rsidRDefault="005B5423" w:rsidP="005B5423">
      <w:pPr>
        <w:jc w:val="both"/>
        <w:rPr>
          <w:rFonts w:ascii="Times New Roman" w:hAnsi="Times New Roman" w:cs="Times New Roman"/>
          <w:b/>
          <w:bCs/>
          <w:sz w:val="24"/>
          <w:szCs w:val="24"/>
        </w:rPr>
      </w:pPr>
      <w:r w:rsidRPr="00D518C9">
        <w:rPr>
          <w:rFonts w:ascii="Times New Roman" w:hAnsi="Times New Roman" w:cs="Times New Roman"/>
          <w:b/>
          <w:bCs/>
          <w:sz w:val="24"/>
          <w:szCs w:val="24"/>
        </w:rPr>
        <w:t>Απάντηση</w:t>
      </w:r>
    </w:p>
    <w:p w14:paraId="3F736165" w14:textId="77777777" w:rsidR="000446C6" w:rsidRPr="00D518C9" w:rsidRDefault="005B5423" w:rsidP="005B5423">
      <w:pPr>
        <w:pStyle w:val="a3"/>
        <w:numPr>
          <w:ilvl w:val="0"/>
          <w:numId w:val="2"/>
        </w:numPr>
        <w:jc w:val="both"/>
        <w:rPr>
          <w:rFonts w:ascii="Times New Roman" w:hAnsi="Times New Roman" w:cs="Times New Roman"/>
          <w:sz w:val="24"/>
          <w:szCs w:val="24"/>
        </w:rPr>
      </w:pPr>
      <w:r w:rsidRPr="00D518C9">
        <w:rPr>
          <w:rFonts w:ascii="Times New Roman" w:hAnsi="Times New Roman" w:cs="Times New Roman"/>
          <w:sz w:val="24"/>
          <w:szCs w:val="24"/>
        </w:rPr>
        <w:t xml:space="preserve">Η νέα διάταξη του άρθρου 88 του ν.4412/2016 απαιτεί στις περιπτώσεις αυτές ένα ουσιαστικό διάλογο μεταξύ της αναθέτουσας αρχής και της υποψήφιας εταιρείας, ο οποίος πρέπει να λαμβάνει χώρα σε χρόνο κατάλληλο, ήτοι κατά την αξιολόγηση των προσφορών και  πριν τη λήψη της απόφασης για την ανάθεση της σύμβασης, με σκοπό, το μεν, να αποτραπούν αυθαίρετες εκτιμήσεις της αναθέτουσας αρχής, το δε, να διασφαλιστεί ο πραγματικός ανταγωνισμός μεταξύ των υποψηφίων αναδόχων. Ειδικότερα απαιτείται ο υποψήφιος ανάδοχος να έχει τη δυνατότητα να υποβάλει για την αιτιολόγηση  της προσφοράς του  στην αναθέτουσα αρχή, οποιοδήποτε στοιχείο έχει κατ’ αυτόν θετική επίδραση στο κόστος εκτέλεσης του υπό ανάθεση έργου.  </w:t>
      </w:r>
    </w:p>
    <w:p w14:paraId="2ADE0CBC" w14:textId="77777777" w:rsidR="000446C6" w:rsidRPr="00D518C9" w:rsidRDefault="000446C6" w:rsidP="000446C6">
      <w:pPr>
        <w:pStyle w:val="a3"/>
        <w:ind w:left="360"/>
        <w:jc w:val="both"/>
        <w:rPr>
          <w:rFonts w:ascii="Times New Roman" w:hAnsi="Times New Roman" w:cs="Times New Roman"/>
          <w:sz w:val="24"/>
          <w:szCs w:val="24"/>
        </w:rPr>
      </w:pPr>
    </w:p>
    <w:p w14:paraId="186F3A6B" w14:textId="17C0B08A" w:rsidR="000446C6" w:rsidRPr="00D518C9" w:rsidRDefault="000446C6" w:rsidP="005B5423">
      <w:pPr>
        <w:pStyle w:val="a3"/>
        <w:numPr>
          <w:ilvl w:val="0"/>
          <w:numId w:val="2"/>
        </w:numPr>
        <w:jc w:val="both"/>
        <w:rPr>
          <w:rFonts w:ascii="Times New Roman" w:hAnsi="Times New Roman" w:cs="Times New Roman"/>
          <w:i/>
          <w:iCs/>
          <w:sz w:val="24"/>
          <w:szCs w:val="24"/>
        </w:rPr>
      </w:pPr>
      <w:r w:rsidRPr="00D518C9">
        <w:rPr>
          <w:rFonts w:ascii="Times New Roman" w:hAnsi="Times New Roman" w:cs="Times New Roman"/>
          <w:sz w:val="24"/>
          <w:szCs w:val="24"/>
        </w:rPr>
        <w:t xml:space="preserve">Πριν απορρίψει την κατά τα ως άνω χαρακτηριζόμενη ως ασυνήθιστα χαμηλή προσφορά, η αναθέτουσα αρχή οφείλει να ζητεί εγγράφως διευκρινίσεις από τον προσφέροντα, καθορίζοντας και τα συγκεκριμένα σημεία της προσφοράς του που θεωρούνται ύποπτα ως ασυνήθιστα </w:t>
      </w:r>
      <w:r w:rsidRPr="00D518C9">
        <w:rPr>
          <w:rFonts w:ascii="Times New Roman" w:hAnsi="Times New Roman" w:cs="Times New Roman"/>
          <w:i/>
          <w:iCs/>
          <w:sz w:val="24"/>
          <w:szCs w:val="24"/>
        </w:rPr>
        <w:t>(πρβλ. απόφαση της 27ης Νοεμβρίου 2001, C-285/99 και C-286/99, σκέψη 59),</w:t>
      </w:r>
      <w:r w:rsidRPr="00D518C9">
        <w:rPr>
          <w:rFonts w:ascii="Times New Roman" w:hAnsi="Times New Roman" w:cs="Times New Roman"/>
          <w:sz w:val="24"/>
          <w:szCs w:val="24"/>
        </w:rPr>
        <w:t xml:space="preserve"> οι οποίες (διευκρινήσεις) μπορεί να αφορούν, ανάλογα με την περίπτωση, στις παρατιθέμενες στην παρ. 2 του άρθρου 313 του ν. 4412/2016 περιπτώσεις, ο κατάλογος των οποίων δεν είναι εξαντλητικός, εντούτοις </w:t>
      </w:r>
      <w:r w:rsidRPr="00D518C9">
        <w:rPr>
          <w:rFonts w:ascii="Times New Roman" w:hAnsi="Times New Roman" w:cs="Times New Roman"/>
          <w:sz w:val="24"/>
          <w:szCs w:val="24"/>
        </w:rPr>
        <w:lastRenderedPageBreak/>
        <w:t>δεν είναι ούτε αμιγώς ενδεικτικός (απόφαση της 29ης Μαρτίου 2012, C-599/10, SAG ELV Slovensko a.s., σκέψη 30), χωρίς να αποκλείεται πάντως η εκ μέρους του προσφέροντα αναφορά και σε λοιπά στοιχεία και περιστάσεις που μπορούν να δικαιολογήσουν την προσφορά του (</w:t>
      </w:r>
      <w:r w:rsidRPr="00D518C9">
        <w:rPr>
          <w:rFonts w:ascii="Times New Roman" w:hAnsi="Times New Roman" w:cs="Times New Roman"/>
          <w:i/>
          <w:iCs/>
          <w:sz w:val="24"/>
          <w:szCs w:val="24"/>
        </w:rPr>
        <w:t>απόφαση της 27ης Νοεμβρίου 2001, C-285/99 και C-286/99, σκέψη 53, απόφαση της 27ης Νοεμβρίου 2001, C-285/99 και C-286/99, σκέψη 83).</w:t>
      </w:r>
    </w:p>
    <w:p w14:paraId="26CA1278" w14:textId="77777777" w:rsidR="000446C6" w:rsidRPr="00D518C9" w:rsidRDefault="000446C6" w:rsidP="000446C6">
      <w:pPr>
        <w:pStyle w:val="a3"/>
        <w:rPr>
          <w:rFonts w:ascii="Times New Roman" w:hAnsi="Times New Roman" w:cs="Times New Roman"/>
          <w:sz w:val="24"/>
          <w:szCs w:val="24"/>
        </w:rPr>
      </w:pPr>
    </w:p>
    <w:p w14:paraId="56416B9C" w14:textId="1EF94F12" w:rsidR="000446C6" w:rsidRPr="00D518C9" w:rsidRDefault="000446C6" w:rsidP="005B5423">
      <w:pPr>
        <w:pStyle w:val="a3"/>
        <w:numPr>
          <w:ilvl w:val="0"/>
          <w:numId w:val="2"/>
        </w:numPr>
        <w:jc w:val="both"/>
        <w:rPr>
          <w:rFonts w:ascii="Times New Roman" w:hAnsi="Times New Roman" w:cs="Times New Roman"/>
          <w:sz w:val="24"/>
          <w:szCs w:val="24"/>
        </w:rPr>
      </w:pPr>
      <w:r w:rsidRPr="00D518C9">
        <w:rPr>
          <w:rFonts w:ascii="Times New Roman" w:hAnsi="Times New Roman" w:cs="Times New Roman"/>
          <w:sz w:val="24"/>
          <w:szCs w:val="24"/>
        </w:rPr>
        <w:t>Το δικαίωμα για απόρριψη μιας ασυνήθιστα χαμηλής προσφοράς ασκείται από την αναθέτουσα αρχή με επαρκή αιτιολογία που συνίσταται στην παράθεση των λόγων, για τους οποίους δεν αιτιολογείται η προσφερόμενη τιμή με τις παρεχόμενες από τον προσφέροντα διευκρινίσεις, καθώς και των ειδικότερων λόγων, για τους οποίους υφίσταται κίνδυνος μη εκπλήρωσης των συμβατικών υποχρεώσεων.</w:t>
      </w:r>
    </w:p>
    <w:p w14:paraId="4FDF60D9" w14:textId="4915A6D8" w:rsidR="00201506" w:rsidRPr="00D518C9" w:rsidRDefault="00201506" w:rsidP="00201506">
      <w:pPr>
        <w:pStyle w:val="2"/>
        <w:ind w:left="360" w:firstLine="0"/>
        <w:rPr>
          <w:sz w:val="24"/>
          <w:szCs w:val="24"/>
        </w:rPr>
      </w:pPr>
      <w:r w:rsidRPr="00D518C9">
        <w:rPr>
          <w:sz w:val="24"/>
          <w:szCs w:val="24"/>
        </w:rPr>
        <w:t>Συμπλήρωση - αποσαφήνιση πληροφοριών και δικαιολογητικών</w:t>
      </w:r>
    </w:p>
    <w:p w14:paraId="77289A88" w14:textId="46384FF1" w:rsidR="00201506" w:rsidRPr="00D518C9" w:rsidRDefault="00201506" w:rsidP="00201506">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4"/>
          <w:szCs w:val="24"/>
        </w:rPr>
      </w:pPr>
      <w:r w:rsidRPr="00D518C9">
        <w:rPr>
          <w:rFonts w:ascii="Times New Roman" w:hAnsi="Times New Roman" w:cs="Times New Roman"/>
          <w:kern w:val="2"/>
          <w:sz w:val="24"/>
          <w:szCs w:val="24"/>
        </w:rPr>
        <w:t xml:space="preserve">Στο Άρθρο 102 (το οποίο αποτελεί μεταφορά του άρθρου 56 παρ. 3 της Οδηγίας 2014/24/ΕΕ) αναλύονται οι διατάξεις σύμφωνα με τις οποίες κατά τη διαδικασία αξιολόγησης των προσφορών ή αιτήσεων συμμετοχής, και σύμφωνα τα οριζόμενα στην παρ. 1 αυτής παρέχεται η δυνατότητα (δηλ. έχει την διακριτική ευχέρεια) στην   αναθέτουσα αρχή μπορεί να καλεί εγγράφως τους προσφέροντες ή τους υποψηφίους να διευκρινίζουν ή να συμπληρώνουν τα έγγραφα ή δικαιολογητικά που έχουν υποβάλει.  </w:t>
      </w:r>
    </w:p>
    <w:p w14:paraId="6BBD52DB" w14:textId="1664FFC0" w:rsidR="00201506" w:rsidRPr="00D518C9" w:rsidRDefault="00201506" w:rsidP="00201506">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4"/>
          <w:szCs w:val="24"/>
        </w:rPr>
      </w:pPr>
      <w:r w:rsidRPr="00D518C9">
        <w:rPr>
          <w:rFonts w:ascii="Times New Roman" w:hAnsi="Times New Roman" w:cs="Times New Roman"/>
          <w:kern w:val="2"/>
          <w:sz w:val="24"/>
          <w:szCs w:val="24"/>
        </w:rPr>
        <w:t>Το άρθρο 102 αντικαταστάθηκε  με το άρθρο 42 Ν.4782/2021 (ΦΕΚ Α` 36).</w:t>
      </w:r>
      <w:r w:rsidRPr="00D518C9">
        <w:rPr>
          <w:rFonts w:ascii="Times New Roman" w:hAnsi="Times New Roman" w:cs="Times New Roman"/>
          <w:sz w:val="24"/>
          <w:szCs w:val="24"/>
        </w:rPr>
        <w:t xml:space="preserve"> </w:t>
      </w:r>
      <w:r w:rsidRPr="00D518C9">
        <w:rPr>
          <w:rFonts w:ascii="Times New Roman" w:hAnsi="Times New Roman" w:cs="Times New Roman"/>
          <w:b/>
          <w:bCs/>
          <w:kern w:val="2"/>
          <w:sz w:val="24"/>
          <w:szCs w:val="24"/>
        </w:rPr>
        <w:t xml:space="preserve">Πλέον </w:t>
      </w:r>
      <w:r w:rsidRPr="00D518C9">
        <w:rPr>
          <w:rFonts w:ascii="Times New Roman" w:hAnsi="Times New Roman" w:cs="Times New Roman"/>
          <w:kern w:val="2"/>
          <w:sz w:val="24"/>
          <w:szCs w:val="24"/>
        </w:rPr>
        <w:t>με τη νέα διάταξη της οδηγίας υιοθετείται η δυνατότητα διόρθωσης ελλιπών ή λανθασμένων πληροφοριών ή συμπλήρωσης εγγράφων που λείπουν, εντός εύλογης προθεσμίας, τηρουμένων απολύτως των αρχών της ίσης μεταχείρισης και της διαφάνειας.</w:t>
      </w:r>
      <w:r w:rsidRPr="00D518C9">
        <w:rPr>
          <w:rFonts w:ascii="Times New Roman" w:hAnsi="Times New Roman" w:cs="Times New Roman"/>
          <w:sz w:val="24"/>
          <w:szCs w:val="24"/>
        </w:rPr>
        <w:t xml:space="preserve"> </w:t>
      </w:r>
      <w:r w:rsidRPr="00D518C9">
        <w:rPr>
          <w:rFonts w:ascii="Times New Roman" w:hAnsi="Times New Roman" w:cs="Times New Roman"/>
          <w:kern w:val="2"/>
          <w:sz w:val="24"/>
          <w:szCs w:val="24"/>
        </w:rPr>
        <w:t>Σε κάθε περίπτωση, σύμφωνα με την πάγια νομολογία του ΔΕΕ, η συμπλήρωση ή διευκρίνιση δεν μπορεί να έχει ως αποτέλεσμα την τροποποίηση ή την αλλοίωση της προσφοράς.</w:t>
      </w:r>
    </w:p>
    <w:p w14:paraId="3BB43747" w14:textId="49BDE1AB" w:rsidR="00F558BD" w:rsidRPr="00D518C9" w:rsidRDefault="00F558BD" w:rsidP="00F558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4"/>
          <w:szCs w:val="24"/>
        </w:rPr>
      </w:pPr>
    </w:p>
    <w:p w14:paraId="2578D6F9" w14:textId="140BD281" w:rsidR="00F558BD" w:rsidRPr="00D518C9" w:rsidRDefault="00F558BD" w:rsidP="00F558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kern w:val="2"/>
          <w:sz w:val="24"/>
          <w:szCs w:val="24"/>
        </w:rPr>
      </w:pPr>
      <w:r w:rsidRPr="00D518C9">
        <w:rPr>
          <w:rFonts w:ascii="Times New Roman" w:hAnsi="Times New Roman" w:cs="Times New Roman"/>
          <w:b/>
          <w:bCs/>
          <w:kern w:val="2"/>
          <w:sz w:val="24"/>
          <w:szCs w:val="24"/>
        </w:rPr>
        <w:t xml:space="preserve">Η έννοια των «μη κανονικών προσφορών» </w:t>
      </w:r>
    </w:p>
    <w:p w14:paraId="4648B06E" w14:textId="77D2A262" w:rsidR="00F558BD" w:rsidRPr="00D518C9" w:rsidRDefault="00F558BD" w:rsidP="00F558BD">
      <w:pPr>
        <w:jc w:val="both"/>
        <w:rPr>
          <w:rFonts w:ascii="Times New Roman" w:hAnsi="Times New Roman" w:cs="Times New Roman"/>
          <w:i/>
          <w:iCs/>
          <w:sz w:val="24"/>
          <w:szCs w:val="24"/>
          <w:u w:val="double"/>
        </w:rPr>
      </w:pPr>
      <w:r w:rsidRPr="00D518C9">
        <w:rPr>
          <w:rFonts w:ascii="Times New Roman" w:hAnsi="Times New Roman" w:cs="Times New Roman"/>
          <w:i/>
          <w:iCs/>
          <w:sz w:val="24"/>
          <w:szCs w:val="24"/>
          <w:u w:val="double"/>
        </w:rPr>
        <w:t>περ. 44 της παρ. 1 του άρθρου 2:</w:t>
      </w:r>
    </w:p>
    <w:p w14:paraId="14873D68" w14:textId="4088B3B6" w:rsidR="00F558BD" w:rsidRPr="00D518C9" w:rsidRDefault="00F558BD" w:rsidP="00F558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iCs/>
          <w:kern w:val="2"/>
          <w:sz w:val="24"/>
          <w:szCs w:val="24"/>
        </w:rPr>
      </w:pPr>
      <w:r w:rsidRPr="00D518C9">
        <w:rPr>
          <w:rFonts w:ascii="Times New Roman" w:hAnsi="Times New Roman" w:cs="Times New Roman"/>
          <w:b/>
          <w:bCs/>
          <w:i/>
          <w:iCs/>
          <w:kern w:val="2"/>
          <w:sz w:val="24"/>
          <w:szCs w:val="24"/>
        </w:rPr>
        <w:t>Ως «μη κανονικές προσφορές» νοούνται όσες προσφορές δεν πληρούν τις προϋποθέσεις των εγγράφων της σύμβασης, όσες παρελήφθησαν εκπρόθεσμα, όταν υπάρχουν αποδεικτικά στοιχεία συμπαιγνίας ή διαφθοράς ή όσες κρίνονται από την αναθέτουσα αρχή ασυνήθιστα χαμηλές</w:t>
      </w:r>
    </w:p>
    <w:p w14:paraId="62E103DF" w14:textId="6D5E715A" w:rsidR="0033534A" w:rsidRPr="00D518C9" w:rsidRDefault="0033534A" w:rsidP="0033534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kern w:val="2"/>
          <w:sz w:val="24"/>
          <w:szCs w:val="24"/>
        </w:rPr>
      </w:pPr>
    </w:p>
    <w:p w14:paraId="5B2F86C0" w14:textId="094CA8EE" w:rsidR="0033534A" w:rsidRPr="00D518C9" w:rsidRDefault="0033534A" w:rsidP="00335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4"/>
          <w:szCs w:val="24"/>
        </w:rPr>
      </w:pPr>
      <w:r w:rsidRPr="00D518C9">
        <w:rPr>
          <w:rFonts w:ascii="Times New Roman" w:hAnsi="Times New Roman" w:cs="Times New Roman"/>
          <w:b/>
          <w:bCs/>
          <w:sz w:val="24"/>
          <w:szCs w:val="24"/>
        </w:rPr>
        <w:t>Κατάπτωση Εγγυητικής Επιστολής</w:t>
      </w:r>
    </w:p>
    <w:p w14:paraId="5524E9C6" w14:textId="3E14EE4D" w:rsidR="0033534A" w:rsidRPr="00D518C9" w:rsidRDefault="0033534A" w:rsidP="0033534A">
      <w:pPr>
        <w:jc w:val="both"/>
        <w:rPr>
          <w:rFonts w:ascii="Times New Roman" w:hAnsi="Times New Roman" w:cs="Times New Roman"/>
          <w:i/>
          <w:iCs/>
          <w:sz w:val="24"/>
          <w:szCs w:val="24"/>
        </w:rPr>
      </w:pPr>
      <w:r w:rsidRPr="00D518C9">
        <w:rPr>
          <w:rFonts w:ascii="Times New Roman" w:hAnsi="Times New Roman" w:cs="Times New Roman"/>
          <w:i/>
          <w:iCs/>
          <w:sz w:val="24"/>
          <w:szCs w:val="24"/>
        </w:rPr>
        <w:t xml:space="preserve">(Παρ. 2 Άρθ. 72 Ν. 4412/2016): </w:t>
      </w:r>
    </w:p>
    <w:p w14:paraId="5D5B8CBC" w14:textId="70179E68" w:rsidR="0033534A" w:rsidRPr="00D518C9" w:rsidRDefault="0033534A" w:rsidP="0033534A">
      <w:pPr>
        <w:jc w:val="both"/>
        <w:rPr>
          <w:rFonts w:ascii="Times New Roman" w:hAnsi="Times New Roman" w:cs="Times New Roman"/>
          <w:i/>
          <w:iCs/>
          <w:sz w:val="24"/>
          <w:szCs w:val="24"/>
        </w:rPr>
      </w:pPr>
      <w:r w:rsidRPr="00D518C9">
        <w:rPr>
          <w:rFonts w:ascii="Times New Roman" w:hAnsi="Times New Roman" w:cs="Times New Roman"/>
          <w:i/>
          <w:iCs/>
          <w:sz w:val="24"/>
          <w:szCs w:val="24"/>
        </w:rPr>
        <w:t xml:space="preserve"> Η εγγύηση συμμετοχής καταπίπτει, αν ο προσφέρων:</w:t>
      </w:r>
    </w:p>
    <w:p w14:paraId="67BB2324" w14:textId="495153BC" w:rsidR="0033534A" w:rsidRPr="00D518C9" w:rsidRDefault="0033534A" w:rsidP="0033534A">
      <w:pPr>
        <w:jc w:val="both"/>
        <w:rPr>
          <w:rFonts w:ascii="Times New Roman" w:hAnsi="Times New Roman" w:cs="Times New Roman"/>
          <w:i/>
          <w:iCs/>
          <w:sz w:val="24"/>
          <w:szCs w:val="24"/>
        </w:rPr>
      </w:pPr>
      <w:r w:rsidRPr="00D518C9">
        <w:rPr>
          <w:rFonts w:ascii="Times New Roman" w:hAnsi="Times New Roman" w:cs="Times New Roman"/>
          <w:i/>
          <w:iCs/>
          <w:sz w:val="24"/>
          <w:szCs w:val="24"/>
        </w:rPr>
        <w:t>α) αποσύρει την προσφορά του κατά τη διάρκεια ισχύος αυτής, ή</w:t>
      </w:r>
    </w:p>
    <w:p w14:paraId="636189A3" w14:textId="135F90AC" w:rsidR="0033534A" w:rsidRPr="00D518C9" w:rsidRDefault="0033534A" w:rsidP="0033534A">
      <w:pPr>
        <w:jc w:val="both"/>
        <w:rPr>
          <w:rFonts w:ascii="Times New Roman" w:hAnsi="Times New Roman" w:cs="Times New Roman"/>
          <w:i/>
          <w:iCs/>
          <w:sz w:val="24"/>
          <w:szCs w:val="24"/>
        </w:rPr>
      </w:pPr>
      <w:r w:rsidRPr="00D518C9">
        <w:rPr>
          <w:rFonts w:ascii="Times New Roman" w:hAnsi="Times New Roman" w:cs="Times New Roman"/>
          <w:i/>
          <w:iCs/>
          <w:sz w:val="24"/>
          <w:szCs w:val="24"/>
        </w:rPr>
        <w:t>β) παρέχει εν γνώσει του ψευδή στοιχεία ή πληροφορίες που αναφέρονται στα άρθρα 73 έως 78, ή</w:t>
      </w:r>
    </w:p>
    <w:p w14:paraId="43B1A62B" w14:textId="1FA83756" w:rsidR="0033534A" w:rsidRPr="00D518C9" w:rsidRDefault="0033534A" w:rsidP="0033534A">
      <w:pPr>
        <w:jc w:val="both"/>
        <w:rPr>
          <w:rFonts w:ascii="Times New Roman" w:hAnsi="Times New Roman" w:cs="Times New Roman"/>
          <w:i/>
          <w:iCs/>
          <w:sz w:val="24"/>
          <w:szCs w:val="24"/>
        </w:rPr>
      </w:pPr>
      <w:r w:rsidRPr="00D518C9">
        <w:rPr>
          <w:rFonts w:ascii="Times New Roman" w:hAnsi="Times New Roman" w:cs="Times New Roman"/>
          <w:i/>
          <w:iCs/>
          <w:sz w:val="24"/>
          <w:szCs w:val="24"/>
        </w:rPr>
        <w:t>γ) δεν προσκομίσει εγκαίρως τα προβλεπόμενα στα έγγραφα της σύμβασης δικαιολογητικά, ή</w:t>
      </w:r>
    </w:p>
    <w:p w14:paraId="75D35AF8" w14:textId="04C6BACB" w:rsidR="0033534A" w:rsidRPr="00D518C9" w:rsidRDefault="0033534A" w:rsidP="0033534A">
      <w:pPr>
        <w:jc w:val="both"/>
        <w:rPr>
          <w:rFonts w:ascii="Times New Roman" w:hAnsi="Times New Roman" w:cs="Times New Roman"/>
          <w:i/>
          <w:iCs/>
          <w:sz w:val="24"/>
          <w:szCs w:val="24"/>
        </w:rPr>
      </w:pPr>
      <w:r w:rsidRPr="00D518C9">
        <w:rPr>
          <w:rFonts w:ascii="Times New Roman" w:hAnsi="Times New Roman" w:cs="Times New Roman"/>
          <w:i/>
          <w:iCs/>
          <w:sz w:val="24"/>
          <w:szCs w:val="24"/>
        </w:rPr>
        <w:lastRenderedPageBreak/>
        <w:t>δ) δεν προσέλθει εγκαίρως για υπογραφή του συμφωνητικού, ή</w:t>
      </w:r>
    </w:p>
    <w:p w14:paraId="1E114277" w14:textId="0561675B" w:rsidR="0033534A" w:rsidRPr="00D518C9" w:rsidRDefault="0033534A" w:rsidP="0033534A">
      <w:pPr>
        <w:jc w:val="both"/>
        <w:rPr>
          <w:rFonts w:ascii="Times New Roman" w:hAnsi="Times New Roman" w:cs="Times New Roman"/>
          <w:i/>
          <w:iCs/>
          <w:sz w:val="24"/>
          <w:szCs w:val="24"/>
          <w:u w:val="double"/>
        </w:rPr>
      </w:pPr>
      <w:r w:rsidRPr="00D518C9">
        <w:rPr>
          <w:rFonts w:ascii="Times New Roman" w:hAnsi="Times New Roman" w:cs="Times New Roman"/>
          <w:i/>
          <w:iCs/>
          <w:sz w:val="24"/>
          <w:szCs w:val="24"/>
        </w:rPr>
        <w:t>ε</w:t>
      </w:r>
      <w:r w:rsidRPr="00D518C9">
        <w:rPr>
          <w:rFonts w:ascii="Times New Roman" w:hAnsi="Times New Roman" w:cs="Times New Roman"/>
          <w:i/>
          <w:iCs/>
          <w:sz w:val="24"/>
          <w:szCs w:val="24"/>
          <w:u w:val="double"/>
        </w:rPr>
        <w:t xml:space="preserve">) </w:t>
      </w:r>
      <w:r w:rsidRPr="00D518C9">
        <w:rPr>
          <w:rFonts w:ascii="Times New Roman" w:hAnsi="Times New Roman" w:cs="Times New Roman"/>
          <w:b/>
          <w:bCs/>
          <w:i/>
          <w:iCs/>
          <w:sz w:val="24"/>
          <w:szCs w:val="24"/>
          <w:u w:val="double"/>
        </w:rPr>
        <w:t>υπέβαλε μη κατάλληλη προσφορά</w:t>
      </w:r>
      <w:r w:rsidRPr="00D518C9">
        <w:rPr>
          <w:rFonts w:ascii="Times New Roman" w:hAnsi="Times New Roman" w:cs="Times New Roman"/>
          <w:i/>
          <w:iCs/>
          <w:sz w:val="24"/>
          <w:szCs w:val="24"/>
          <w:u w:val="double"/>
        </w:rPr>
        <w:t xml:space="preserve"> με την έννοια της περ. 46 της παρ. 1 του άρθρου 2, ή</w:t>
      </w:r>
    </w:p>
    <w:p w14:paraId="7993E276" w14:textId="3655671C" w:rsidR="00EA475B" w:rsidRPr="00D518C9" w:rsidRDefault="0033534A" w:rsidP="0033534A">
      <w:pPr>
        <w:jc w:val="both"/>
        <w:rPr>
          <w:rFonts w:ascii="Times New Roman" w:hAnsi="Times New Roman" w:cs="Times New Roman"/>
          <w:i/>
          <w:iCs/>
          <w:sz w:val="24"/>
          <w:szCs w:val="24"/>
        </w:rPr>
      </w:pPr>
      <w:r w:rsidRPr="00D518C9">
        <w:rPr>
          <w:rFonts w:ascii="Times New Roman" w:hAnsi="Times New Roman" w:cs="Times New Roman"/>
          <w:i/>
          <w:iCs/>
          <w:sz w:val="24"/>
          <w:szCs w:val="24"/>
        </w:rPr>
        <w:t>στ) στις περιπτώσεις των παρ. 3, 4 και 5 του άρθρου 103, περί πρόσκλησης για υποβολή δικαιολογητικών.</w:t>
      </w:r>
    </w:p>
    <w:p w14:paraId="70DAD329" w14:textId="1EF5F8A5" w:rsidR="00F558BD" w:rsidRPr="00D518C9" w:rsidRDefault="00F558BD" w:rsidP="0033534A">
      <w:pPr>
        <w:jc w:val="both"/>
        <w:rPr>
          <w:rFonts w:ascii="Times New Roman" w:hAnsi="Times New Roman" w:cs="Times New Roman"/>
          <w:i/>
          <w:iCs/>
          <w:sz w:val="24"/>
          <w:szCs w:val="24"/>
          <w:u w:val="double"/>
        </w:rPr>
      </w:pPr>
      <w:r w:rsidRPr="00D518C9">
        <w:rPr>
          <w:rFonts w:ascii="Times New Roman" w:hAnsi="Times New Roman" w:cs="Times New Roman"/>
          <w:i/>
          <w:iCs/>
          <w:sz w:val="24"/>
          <w:szCs w:val="24"/>
          <w:u w:val="double"/>
        </w:rPr>
        <w:t>περ. 46 της παρ. 1 του άρθρου 2:</w:t>
      </w:r>
    </w:p>
    <w:p w14:paraId="0AA6A6B0" w14:textId="26ACC874" w:rsidR="0033534A" w:rsidRPr="00D518C9" w:rsidRDefault="00F558BD" w:rsidP="0033534A">
      <w:pPr>
        <w:jc w:val="both"/>
        <w:rPr>
          <w:rFonts w:ascii="Times New Roman" w:hAnsi="Times New Roman" w:cs="Times New Roman"/>
          <w:i/>
          <w:iCs/>
          <w:sz w:val="24"/>
          <w:szCs w:val="24"/>
        </w:rPr>
      </w:pPr>
      <w:r w:rsidRPr="00D518C9">
        <w:rPr>
          <w:rFonts w:ascii="Times New Roman" w:hAnsi="Times New Roman" w:cs="Times New Roman"/>
          <w:i/>
          <w:iCs/>
          <w:sz w:val="24"/>
          <w:szCs w:val="24"/>
        </w:rPr>
        <w:t xml:space="preserve">Ως </w:t>
      </w:r>
      <w:r w:rsidRPr="00D518C9">
        <w:rPr>
          <w:rFonts w:ascii="Times New Roman" w:hAnsi="Times New Roman" w:cs="Times New Roman"/>
          <w:b/>
          <w:bCs/>
          <w:i/>
          <w:iCs/>
          <w:sz w:val="24"/>
          <w:szCs w:val="24"/>
        </w:rPr>
        <w:t>«μη κατάλληλη»</w:t>
      </w:r>
      <w:r w:rsidRPr="00D518C9">
        <w:rPr>
          <w:rFonts w:ascii="Times New Roman" w:hAnsi="Times New Roman" w:cs="Times New Roman"/>
          <w:i/>
          <w:iCs/>
          <w:sz w:val="24"/>
          <w:szCs w:val="24"/>
        </w:rPr>
        <w:t xml:space="preserve"> νοείται μία προσφορά όταν δεν σχετίζεται με τη σύμβαση και αδυνατεί προδήλως, χωρίς ουσιώδη τροποποίηση, να ανταποκριθεί στις ανάγκες και τις απαιτήσεις της αναθέτουσας αρχής, όπως προσδιορίζονται στα έγγραφα της σύμβασης,</w:t>
      </w:r>
    </w:p>
    <w:p w14:paraId="0D93F967" w14:textId="77777777" w:rsidR="00F558BD" w:rsidRPr="00D518C9" w:rsidRDefault="00F558BD" w:rsidP="0033534A">
      <w:pPr>
        <w:jc w:val="both"/>
        <w:rPr>
          <w:rFonts w:ascii="Times New Roman" w:hAnsi="Times New Roman" w:cs="Times New Roman"/>
          <w:i/>
          <w:iCs/>
          <w:sz w:val="24"/>
          <w:szCs w:val="24"/>
        </w:rPr>
      </w:pPr>
    </w:p>
    <w:p w14:paraId="5D5B3197" w14:textId="78E6FE49" w:rsidR="00201506" w:rsidRPr="00D518C9" w:rsidRDefault="00EA475B" w:rsidP="00201506">
      <w:pPr>
        <w:jc w:val="both"/>
        <w:rPr>
          <w:rFonts w:ascii="Times New Roman" w:hAnsi="Times New Roman" w:cs="Times New Roman"/>
          <w:b/>
          <w:bCs/>
          <w:sz w:val="24"/>
          <w:szCs w:val="24"/>
        </w:rPr>
      </w:pPr>
      <w:r w:rsidRPr="00D518C9">
        <w:rPr>
          <w:rFonts w:ascii="Times New Roman" w:hAnsi="Times New Roman" w:cs="Times New Roman"/>
          <w:b/>
          <w:bCs/>
          <w:sz w:val="24"/>
          <w:szCs w:val="24"/>
        </w:rPr>
        <w:t>Νομολογία περί κατάπτωσης Εγγυητικής Επιστολής</w:t>
      </w:r>
    </w:p>
    <w:p w14:paraId="36D753A8" w14:textId="77777777" w:rsidR="00EA475B" w:rsidRPr="00D518C9" w:rsidRDefault="00D518C9" w:rsidP="00EA475B">
      <w:pPr>
        <w:pStyle w:val="Web"/>
        <w:jc w:val="both"/>
      </w:pPr>
      <w:hyperlink r:id="rId7" w:tgtFrame="https://4412.gr/blog/newsletters/%ce%b5%ce%bd%ce%b7%ce%bc%ce%b5%cf%81%cf%89%cf%84%ce%b9%ce%ba%cf%8c-%ce%b4%ce%b5%ce%bb%cf%84%ce%af%ce%bf-4412-gr-25-08-2020-2/_blank" w:history="1">
        <w:r w:rsidR="00EA475B" w:rsidRPr="00D518C9">
          <w:rPr>
            <w:rStyle w:val="-"/>
          </w:rPr>
          <w:t>ΑΕΠΠ Απόφαση 99/2020</w:t>
        </w:r>
      </w:hyperlink>
    </w:p>
    <w:p w14:paraId="116B0CE1" w14:textId="07E901FE" w:rsidR="00EA475B" w:rsidRPr="00D518C9" w:rsidRDefault="00EA475B" w:rsidP="00EA475B">
      <w:pPr>
        <w:pStyle w:val="Web"/>
        <w:jc w:val="both"/>
      </w:pPr>
      <w:r w:rsidRPr="00D518C9">
        <w:rPr>
          <w:b/>
          <w:bCs/>
        </w:rPr>
        <w:t xml:space="preserve">Είναι δυνατόν να καταπέσει η εγγυητική επιστολή συμμετοχής και ανεξαρτήτως αν το γεγονός ότι δηλώθηκε πληροφορία μη ανταποκρινόμενη στην πραγματικότητα, επί του ΤΕΥΔ/ΕΕΕΣ προέκυψε από τα δικαιολογητικά κατακύρωσης . </w:t>
      </w:r>
      <w:r w:rsidRPr="00D518C9">
        <w:t xml:space="preserve">Περαιτέρω, δεν δύναται βασίμως να υποστηριχθεί ότι η δεύτερη διαζευκτική προϋπόθεση της παρ. 4 περ. (η) του άρθρου 73 του ν. 4412/2016, εννοιολογικά ταυτόσημη με την δεύτερη διαζευκτική περίπτωση της περ. η του άρθρου 2.2.3.4 της διακήρυξης, ταυτίζεται με την περ. ζ’ των ιδίων ως άνω άρθρων που απαιτούν και προϋποθέτουν την ύπαρξη ψευδών δηλώσεων και τούτο διότι πέραν της σαφούς γραμματικής διατύπωσης της περ.η που ρητά αναφέρεται σε παροχή εξ αμελείας παραπλανητικών πληροφοριών και τελολογικά ερμηνευόμενη, αν ήθελε υποτεθεί ότι υφίσταται ταύτιση, θα οδηγούμασταν στο άτοπο αποτέλεσμα άσκοπης επανάληψης. </w:t>
      </w:r>
    </w:p>
    <w:bookmarkEnd w:id="0"/>
    <w:p w14:paraId="2091B8CB" w14:textId="77777777" w:rsidR="00EA475B" w:rsidRPr="00D518C9" w:rsidRDefault="00EA475B" w:rsidP="00201506">
      <w:pPr>
        <w:jc w:val="both"/>
        <w:rPr>
          <w:rFonts w:ascii="Times New Roman" w:hAnsi="Times New Roman" w:cs="Times New Roman"/>
          <w:sz w:val="24"/>
          <w:szCs w:val="24"/>
        </w:rPr>
      </w:pPr>
    </w:p>
    <w:sectPr w:rsidR="00EA475B" w:rsidRPr="00D518C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8831A" w14:textId="77777777" w:rsidR="00201506" w:rsidRDefault="00201506" w:rsidP="00201506">
      <w:pPr>
        <w:spacing w:after="0" w:line="240" w:lineRule="auto"/>
      </w:pPr>
      <w:r>
        <w:separator/>
      </w:r>
    </w:p>
  </w:endnote>
  <w:endnote w:type="continuationSeparator" w:id="0">
    <w:p w14:paraId="6C3BDECD" w14:textId="77777777" w:rsidR="00201506" w:rsidRDefault="00201506" w:rsidP="00201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4DE1A" w14:textId="77777777" w:rsidR="00201506" w:rsidRDefault="00201506" w:rsidP="00201506">
      <w:pPr>
        <w:spacing w:after="0" w:line="240" w:lineRule="auto"/>
      </w:pPr>
      <w:r>
        <w:separator/>
      </w:r>
    </w:p>
  </w:footnote>
  <w:footnote w:type="continuationSeparator" w:id="0">
    <w:p w14:paraId="3C8AB4C7" w14:textId="77777777" w:rsidR="00201506" w:rsidRDefault="00201506" w:rsidP="00201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81302"/>
    <w:multiLevelType w:val="hybridMultilevel"/>
    <w:tmpl w:val="F2EE2788"/>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366542C"/>
    <w:multiLevelType w:val="hybridMultilevel"/>
    <w:tmpl w:val="3AA8B774"/>
    <w:lvl w:ilvl="0" w:tplc="BD90CE1A">
      <w:numFmt w:val="bullet"/>
      <w:lvlText w:val="-"/>
      <w:lvlJc w:val="left"/>
      <w:pPr>
        <w:ind w:left="360" w:hanging="360"/>
      </w:pPr>
      <w:rPr>
        <w:rFonts w:ascii="Times New Roman" w:eastAsiaTheme="minorHAnsi"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423"/>
    <w:rsid w:val="000446C6"/>
    <w:rsid w:val="00201506"/>
    <w:rsid w:val="0033534A"/>
    <w:rsid w:val="00414A65"/>
    <w:rsid w:val="005B5423"/>
    <w:rsid w:val="006E3711"/>
    <w:rsid w:val="006F3850"/>
    <w:rsid w:val="008075E7"/>
    <w:rsid w:val="00C24A6C"/>
    <w:rsid w:val="00C95783"/>
    <w:rsid w:val="00D518C9"/>
    <w:rsid w:val="00EA475B"/>
    <w:rsid w:val="00F558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FB25"/>
  <w15:chartTrackingRefBased/>
  <w15:docId w15:val="{4E50999D-6D3B-4691-84BB-2C5D2E06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qFormat/>
    <w:rsid w:val="00201506"/>
    <w:pPr>
      <w:keepNext/>
      <w:keepLines/>
      <w:spacing w:before="200" w:line="360" w:lineRule="auto"/>
      <w:ind w:left="432" w:hanging="432"/>
      <w:jc w:val="both"/>
      <w:outlineLvl w:val="1"/>
    </w:pPr>
    <w:rPr>
      <w:rFonts w:ascii="Times New Roman" w:eastAsia="Times New Roman" w:hAnsi="Times New Roman" w:cs="Times New Roman"/>
      <w:b/>
      <w:bCs/>
      <w:noProo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5423"/>
    <w:pPr>
      <w:ind w:left="720"/>
      <w:contextualSpacing/>
    </w:pPr>
  </w:style>
  <w:style w:type="character" w:customStyle="1" w:styleId="2Char">
    <w:name w:val="Επικεφαλίδα 2 Char"/>
    <w:basedOn w:val="a0"/>
    <w:link w:val="2"/>
    <w:uiPriority w:val="9"/>
    <w:qFormat/>
    <w:rsid w:val="00201506"/>
    <w:rPr>
      <w:rFonts w:ascii="Times New Roman" w:eastAsia="Times New Roman" w:hAnsi="Times New Roman" w:cs="Times New Roman"/>
      <w:b/>
      <w:bCs/>
      <w:noProof/>
      <w:sz w:val="26"/>
      <w:szCs w:val="26"/>
    </w:rPr>
  </w:style>
  <w:style w:type="character" w:styleId="a4">
    <w:name w:val="footnote reference"/>
    <w:uiPriority w:val="99"/>
    <w:qFormat/>
    <w:rsid w:val="00201506"/>
    <w:rPr>
      <w:vertAlign w:val="superscript"/>
    </w:rPr>
  </w:style>
  <w:style w:type="character" w:customStyle="1" w:styleId="Char">
    <w:name w:val="Κείμενο υποσημείωσης Char"/>
    <w:basedOn w:val="a0"/>
    <w:link w:val="a5"/>
    <w:uiPriority w:val="99"/>
    <w:qFormat/>
    <w:rsid w:val="00201506"/>
  </w:style>
  <w:style w:type="paragraph" w:styleId="a5">
    <w:name w:val="footnote text"/>
    <w:basedOn w:val="a"/>
    <w:link w:val="Char"/>
    <w:uiPriority w:val="99"/>
    <w:qFormat/>
    <w:rsid w:val="00201506"/>
  </w:style>
  <w:style w:type="character" w:customStyle="1" w:styleId="Char1">
    <w:name w:val="Κείμενο υποσημείωσης Char1"/>
    <w:basedOn w:val="a0"/>
    <w:uiPriority w:val="99"/>
    <w:semiHidden/>
    <w:rsid w:val="00201506"/>
    <w:rPr>
      <w:sz w:val="20"/>
      <w:szCs w:val="20"/>
    </w:rPr>
  </w:style>
  <w:style w:type="character" w:styleId="-">
    <w:name w:val="Hyperlink"/>
    <w:basedOn w:val="a0"/>
    <w:uiPriority w:val="99"/>
    <w:unhideWhenUsed/>
    <w:qFormat/>
    <w:rsid w:val="00EA475B"/>
    <w:rPr>
      <w:b/>
      <w:bCs/>
      <w:color w:val="330066"/>
      <w:u w:val="none"/>
      <w:shd w:val="clear" w:color="auto" w:fill="auto"/>
    </w:rPr>
  </w:style>
  <w:style w:type="paragraph" w:styleId="Web">
    <w:name w:val="Normal (Web)"/>
    <w:basedOn w:val="a"/>
    <w:uiPriority w:val="99"/>
    <w:unhideWhenUsed/>
    <w:qFormat/>
    <w:rsid w:val="00EA475B"/>
    <w:pPr>
      <w:spacing w:before="100" w:beforeAutospacing="1" w:after="100" w:afterAutospacing="1"/>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4412.gr/blog/laws/3528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1039</Words>
  <Characters>5616</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User</cp:lastModifiedBy>
  <cp:revision>6</cp:revision>
  <dcterms:created xsi:type="dcterms:W3CDTF">2022-07-19T09:58:00Z</dcterms:created>
  <dcterms:modified xsi:type="dcterms:W3CDTF">2025-03-21T16:53:00Z</dcterms:modified>
</cp:coreProperties>
</file>