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29BF" w14:textId="0C658C86" w:rsidR="004E3639" w:rsidRPr="00BC6F8E" w:rsidRDefault="00BC6F8E" w:rsidP="004E3639">
      <w:pPr>
        <w:shd w:val="clear" w:color="auto" w:fill="FFFFFF"/>
        <w:spacing w:before="343" w:after="171" w:line="240" w:lineRule="auto"/>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BC6F8E">
        <w:rPr>
          <w:rFonts w:ascii="Times New Roman" w:eastAsia="Times New Roman" w:hAnsi="Times New Roman" w:cs="Times New Roman"/>
          <w:b/>
          <w:noProof w:val="0"/>
          <w:color w:val="333333"/>
          <w:sz w:val="24"/>
          <w:szCs w:val="24"/>
          <w:lang w:eastAsia="el-GR"/>
        </w:rPr>
        <w:t xml:space="preserve">: </w:t>
      </w:r>
      <w:r>
        <w:rPr>
          <w:rFonts w:ascii="Times New Roman" w:eastAsia="Times New Roman" w:hAnsi="Times New Roman" w:cs="Times New Roman"/>
          <w:b/>
          <w:noProof w:val="0"/>
          <w:color w:val="333333"/>
          <w:sz w:val="24"/>
          <w:szCs w:val="24"/>
          <w:lang w:eastAsia="el-GR"/>
        </w:rPr>
        <w:t xml:space="preserve">Μέλος </w:t>
      </w:r>
      <w:r w:rsidR="004E3639" w:rsidRPr="00BC6F8E">
        <w:rPr>
          <w:rFonts w:ascii="Times New Roman" w:eastAsia="Times New Roman" w:hAnsi="Times New Roman" w:cs="Times New Roman"/>
          <w:b/>
          <w:noProof w:val="0"/>
          <w:color w:val="333333"/>
          <w:sz w:val="24"/>
          <w:szCs w:val="24"/>
          <w:lang w:eastAsia="el-GR"/>
        </w:rPr>
        <w:t>ΤΕΕ</w:t>
      </w:r>
      <w:r>
        <w:rPr>
          <w:rFonts w:ascii="Times New Roman" w:eastAsia="Times New Roman" w:hAnsi="Times New Roman" w:cs="Times New Roman"/>
          <w:b/>
          <w:noProof w:val="0"/>
          <w:color w:val="333333"/>
          <w:sz w:val="24"/>
          <w:szCs w:val="24"/>
          <w:lang w:eastAsia="el-GR"/>
        </w:rPr>
        <w:t xml:space="preserve"> στην Επιτροπή Παραλαβής Έργων</w:t>
      </w:r>
    </w:p>
    <w:p w14:paraId="7F4C6A36" w14:textId="77777777" w:rsidR="004E3639" w:rsidRPr="00BC6F8E" w:rsidRDefault="004E3639" w:rsidP="004E3639">
      <w:pPr>
        <w:pBdr>
          <w:bottom w:val="single" w:sz="6" w:space="1" w:color="auto"/>
        </w:pBdr>
        <w:spacing w:after="0" w:line="240" w:lineRule="auto"/>
        <w:jc w:val="center"/>
        <w:rPr>
          <w:rFonts w:ascii="Times New Roman" w:eastAsia="Times New Roman" w:hAnsi="Times New Roman" w:cs="Times New Roman"/>
          <w:noProof w:val="0"/>
          <w:vanish/>
          <w:sz w:val="24"/>
          <w:szCs w:val="24"/>
          <w:lang w:eastAsia="el-GR"/>
        </w:rPr>
      </w:pPr>
      <w:r w:rsidRPr="00BC6F8E">
        <w:rPr>
          <w:rFonts w:ascii="Times New Roman" w:eastAsia="Times New Roman" w:hAnsi="Times New Roman" w:cs="Times New Roman"/>
          <w:noProof w:val="0"/>
          <w:vanish/>
          <w:sz w:val="24"/>
          <w:szCs w:val="24"/>
          <w:lang w:eastAsia="el-GR"/>
        </w:rPr>
        <w:t>Αρχή φόρμας</w:t>
      </w:r>
    </w:p>
    <w:p w14:paraId="3193940D" w14:textId="53BEA243" w:rsidR="004E3639" w:rsidRPr="00BC6F8E" w:rsidRDefault="004E3639" w:rsidP="00A30587">
      <w:pPr>
        <w:spacing w:after="0" w:line="240" w:lineRule="auto"/>
        <w:rPr>
          <w:rFonts w:ascii="Times New Roman" w:eastAsia="Times New Roman" w:hAnsi="Times New Roman" w:cs="Times New Roman"/>
          <w:noProof w:val="0"/>
          <w:color w:val="333333"/>
          <w:sz w:val="24"/>
          <w:szCs w:val="24"/>
          <w:lang w:eastAsia="el-GR"/>
        </w:rPr>
      </w:pPr>
      <w:proofErr w:type="spellStart"/>
      <w:r w:rsidRPr="00BC6F8E">
        <w:rPr>
          <w:rFonts w:ascii="Times New Roman" w:eastAsia="Times New Roman" w:hAnsi="Times New Roman" w:cs="Times New Roman"/>
          <w:noProof w:val="0"/>
          <w:color w:val="333333"/>
          <w:sz w:val="24"/>
          <w:szCs w:val="24"/>
          <w:lang w:eastAsia="el-GR"/>
        </w:rPr>
        <w:t>Ημ</w:t>
      </w:r>
      <w:proofErr w:type="spellEnd"/>
      <w:r w:rsidRPr="00BC6F8E">
        <w:rPr>
          <w:rFonts w:ascii="Times New Roman" w:eastAsia="Times New Roman" w:hAnsi="Times New Roman" w:cs="Times New Roman"/>
          <w:noProof w:val="0"/>
          <w:color w:val="333333"/>
          <w:sz w:val="24"/>
          <w:szCs w:val="24"/>
          <w:lang w:eastAsia="el-GR"/>
        </w:rPr>
        <w:t>/</w:t>
      </w:r>
      <w:proofErr w:type="spellStart"/>
      <w:r w:rsidRPr="00BC6F8E">
        <w:rPr>
          <w:rFonts w:ascii="Times New Roman" w:eastAsia="Times New Roman" w:hAnsi="Times New Roman" w:cs="Times New Roman"/>
          <w:noProof w:val="0"/>
          <w:color w:val="333333"/>
          <w:sz w:val="24"/>
          <w:szCs w:val="24"/>
          <w:lang w:eastAsia="el-GR"/>
        </w:rPr>
        <w:t>νία</w:t>
      </w:r>
      <w:proofErr w:type="spellEnd"/>
      <w:r w:rsidRPr="00BC6F8E">
        <w:rPr>
          <w:rFonts w:ascii="Times New Roman" w:eastAsia="Times New Roman" w:hAnsi="Times New Roman" w:cs="Times New Roman"/>
          <w:noProof w:val="0"/>
          <w:color w:val="333333"/>
          <w:sz w:val="24"/>
          <w:szCs w:val="24"/>
          <w:lang w:eastAsia="el-GR"/>
        </w:rPr>
        <w:t xml:space="preserve"> υποβολής</w:t>
      </w:r>
      <w:r w:rsidR="00A30587" w:rsidRPr="00BC6F8E">
        <w:rPr>
          <w:rFonts w:ascii="Times New Roman" w:eastAsia="Times New Roman" w:hAnsi="Times New Roman" w:cs="Times New Roman"/>
          <w:noProof w:val="0"/>
          <w:color w:val="333333"/>
          <w:sz w:val="24"/>
          <w:szCs w:val="24"/>
          <w:lang w:eastAsia="el-GR"/>
        </w:rPr>
        <w:t xml:space="preserve"> </w:t>
      </w:r>
      <w:r w:rsidRPr="00BC6F8E">
        <w:rPr>
          <w:rFonts w:ascii="Times New Roman" w:eastAsia="Times New Roman" w:hAnsi="Times New Roman" w:cs="Times New Roman"/>
          <w:b/>
          <w:bCs/>
          <w:i/>
          <w:iCs/>
          <w:noProof w:val="0"/>
          <w:color w:val="7030A0"/>
          <w:sz w:val="24"/>
          <w:szCs w:val="24"/>
          <w:lang w:eastAsia="el-GR"/>
        </w:rPr>
        <w:t>07/0</w:t>
      </w:r>
      <w:r w:rsidR="00BC6F8E">
        <w:rPr>
          <w:rFonts w:ascii="Times New Roman" w:eastAsia="Times New Roman" w:hAnsi="Times New Roman" w:cs="Times New Roman"/>
          <w:b/>
          <w:bCs/>
          <w:i/>
          <w:iCs/>
          <w:noProof w:val="0"/>
          <w:color w:val="7030A0"/>
          <w:sz w:val="24"/>
          <w:szCs w:val="24"/>
          <w:lang w:eastAsia="el-GR"/>
        </w:rPr>
        <w:t>5</w:t>
      </w:r>
      <w:r w:rsidRPr="00BC6F8E">
        <w:rPr>
          <w:rFonts w:ascii="Times New Roman" w:eastAsia="Times New Roman" w:hAnsi="Times New Roman" w:cs="Times New Roman"/>
          <w:b/>
          <w:bCs/>
          <w:i/>
          <w:iCs/>
          <w:noProof w:val="0"/>
          <w:color w:val="7030A0"/>
          <w:sz w:val="24"/>
          <w:szCs w:val="24"/>
          <w:lang w:eastAsia="el-GR"/>
        </w:rPr>
        <w:t>/2022</w:t>
      </w:r>
    </w:p>
    <w:p w14:paraId="4D36033B" w14:textId="77777777" w:rsidR="00A30587" w:rsidRPr="00BC6F8E" w:rsidRDefault="00A30587" w:rsidP="00A30587">
      <w:pPr>
        <w:spacing w:after="0" w:line="240" w:lineRule="auto"/>
        <w:rPr>
          <w:rFonts w:ascii="Times New Roman" w:eastAsia="Times New Roman" w:hAnsi="Times New Roman" w:cs="Times New Roman"/>
          <w:noProof w:val="0"/>
          <w:color w:val="333333"/>
          <w:sz w:val="24"/>
          <w:szCs w:val="24"/>
          <w:lang w:eastAsia="el-GR"/>
        </w:rPr>
      </w:pPr>
    </w:p>
    <w:p w14:paraId="2C26D191" w14:textId="2ECCA462" w:rsidR="004E3639" w:rsidRPr="00BC6F8E" w:rsidRDefault="004E3639" w:rsidP="00A30587">
      <w:pPr>
        <w:spacing w:after="0" w:line="240" w:lineRule="auto"/>
        <w:rPr>
          <w:rFonts w:ascii="Times New Roman" w:eastAsia="Times New Roman" w:hAnsi="Times New Roman" w:cs="Times New Roman"/>
          <w:b/>
          <w:noProof w:val="0"/>
          <w:color w:val="333333"/>
          <w:sz w:val="24"/>
          <w:szCs w:val="24"/>
          <w:lang w:eastAsia="el-GR"/>
        </w:rPr>
      </w:pPr>
      <w:r w:rsidRPr="00BC6F8E">
        <w:rPr>
          <w:rFonts w:ascii="Times New Roman" w:eastAsia="Times New Roman" w:hAnsi="Times New Roman" w:cs="Times New Roman"/>
          <w:b/>
          <w:noProof w:val="0"/>
          <w:color w:val="333333"/>
          <w:sz w:val="24"/>
          <w:szCs w:val="24"/>
          <w:lang w:eastAsia="el-GR"/>
        </w:rPr>
        <w:t>Ερώτηση</w:t>
      </w:r>
      <w:r w:rsidR="00A30587" w:rsidRPr="00BC6F8E">
        <w:rPr>
          <w:rFonts w:ascii="Times New Roman" w:eastAsia="Times New Roman" w:hAnsi="Times New Roman" w:cs="Times New Roman"/>
          <w:b/>
          <w:noProof w:val="0"/>
          <w:color w:val="333333"/>
          <w:sz w:val="24"/>
          <w:szCs w:val="24"/>
          <w:lang w:eastAsia="el-GR"/>
        </w:rPr>
        <w:t xml:space="preserve"> </w:t>
      </w:r>
    </w:p>
    <w:p w14:paraId="5678C447" w14:textId="77777777" w:rsidR="004E3639" w:rsidRPr="00BC6F8E" w:rsidRDefault="004E3639" w:rsidP="004E3639">
      <w:pPr>
        <w:spacing w:line="240" w:lineRule="auto"/>
        <w:rPr>
          <w:rStyle w:val="a3"/>
          <w:rFonts w:ascii="Times New Roman" w:hAnsi="Times New Roman" w:cs="Times New Roman"/>
          <w:color w:val="333333"/>
          <w:sz w:val="24"/>
          <w:szCs w:val="24"/>
          <w:lang w:eastAsia="el-GR"/>
        </w:rPr>
      </w:pPr>
      <w:r w:rsidRPr="00BC6F8E">
        <w:rPr>
          <w:rFonts w:ascii="Times New Roman" w:eastAsia="Times New Roman" w:hAnsi="Times New Roman" w:cs="Times New Roman"/>
          <w:noProof w:val="0"/>
          <w:color w:val="333333"/>
          <w:sz w:val="24"/>
          <w:szCs w:val="24"/>
          <w:lang w:eastAsia="el-GR"/>
        </w:rPr>
        <w:t xml:space="preserve">Το </w:t>
      </w:r>
      <w:proofErr w:type="spellStart"/>
      <w:r w:rsidRPr="00BC6F8E">
        <w:rPr>
          <w:rFonts w:ascii="Times New Roman" w:eastAsia="Times New Roman" w:hAnsi="Times New Roman" w:cs="Times New Roman"/>
          <w:noProof w:val="0"/>
          <w:color w:val="333333"/>
          <w:sz w:val="24"/>
          <w:szCs w:val="24"/>
          <w:lang w:eastAsia="el-GR"/>
        </w:rPr>
        <w:t>άρ</w:t>
      </w:r>
      <w:proofErr w:type="spellEnd"/>
      <w:r w:rsidRPr="00BC6F8E">
        <w:rPr>
          <w:rFonts w:ascii="Times New Roman" w:eastAsia="Times New Roman" w:hAnsi="Times New Roman" w:cs="Times New Roman"/>
          <w:noProof w:val="0"/>
          <w:color w:val="333333"/>
          <w:sz w:val="24"/>
          <w:szCs w:val="24"/>
          <w:lang w:eastAsia="el-GR"/>
        </w:rPr>
        <w:t>. 170 παρ. 3β, ορίζει ότι κατόπιν αιτήματος της Προϊσταμένης Αρχής προς το ΤΕΕ ή το ΓΕΩΤΕΕ κατά περίπτωση, ορίζονται 2 μέλη των φορέων με τα αναπληρωματικά τους προκειμένου να συσταθεί η επιτροπή παραλαβής έργου. Επειδή η Προϊσταμένη Αρχή στους Δήμους είναι η Οικονομική Επιτροπή (ΟΕ), το ερώτημα που τίθεται είναι κατά πόσο είναι δυνατή η υποβολή αιτήματος της ΟΕ προς το ΤΕΕ ή ΓΕΩΤΕΕ, προκειμένου να ορίσει μέλη του σε επιτροπή παραλαβής έργου. Κατά την άποψή μας, η Δ/</w:t>
      </w:r>
      <w:proofErr w:type="spellStart"/>
      <w:r w:rsidRPr="00BC6F8E">
        <w:rPr>
          <w:rFonts w:ascii="Times New Roman" w:eastAsia="Times New Roman" w:hAnsi="Times New Roman" w:cs="Times New Roman"/>
          <w:noProof w:val="0"/>
          <w:color w:val="333333"/>
          <w:sz w:val="24"/>
          <w:szCs w:val="24"/>
          <w:lang w:eastAsia="el-GR"/>
        </w:rPr>
        <w:t>νουσα</w:t>
      </w:r>
      <w:proofErr w:type="spellEnd"/>
      <w:r w:rsidRPr="00BC6F8E">
        <w:rPr>
          <w:rFonts w:ascii="Times New Roman" w:eastAsia="Times New Roman" w:hAnsi="Times New Roman" w:cs="Times New Roman"/>
          <w:noProof w:val="0"/>
          <w:color w:val="333333"/>
          <w:sz w:val="24"/>
          <w:szCs w:val="24"/>
          <w:lang w:eastAsia="el-GR"/>
        </w:rPr>
        <w:t xml:space="preserve"> Υπηρεσία οφείλει να απευθύνει το σχετικό αίτημα και στη συνέχεια να εισηγηθεί τη σύσταση επιτροπής παραλαβής, προς την ΟΕ. Επίσης, δεν έχουμε βρει την κοινή απόφαση των Υπουργών Οικονομικών και Υποδομών και Μεταφορών, με την οποία καθορίζονται οι αμοιβές των μελών της επιτροπής παραλαβής και δεν γνωρίζουμε πώς θα καθοριστεί η αμοιβή των μελών που τη δικαιούνται.</w:t>
      </w:r>
    </w:p>
    <w:p w14:paraId="720EAE1C" w14:textId="77777777" w:rsidR="004E3639" w:rsidRPr="00BC6F8E" w:rsidRDefault="004E3639" w:rsidP="004E3639">
      <w:pPr>
        <w:spacing w:line="240" w:lineRule="auto"/>
        <w:rPr>
          <w:rStyle w:val="a3"/>
          <w:rFonts w:ascii="Times New Roman" w:hAnsi="Times New Roman" w:cs="Times New Roman"/>
          <w:color w:val="333333"/>
          <w:sz w:val="24"/>
          <w:szCs w:val="24"/>
          <w:lang w:eastAsia="el-GR"/>
        </w:rPr>
      </w:pPr>
    </w:p>
    <w:p w14:paraId="383A4B9A" w14:textId="77777777" w:rsidR="00B16894" w:rsidRPr="00BC6F8E" w:rsidRDefault="004E3639">
      <w:pPr>
        <w:rPr>
          <w:rStyle w:val="a3"/>
          <w:rFonts w:ascii="Times New Roman" w:eastAsia="Times New Roman" w:hAnsi="Times New Roman" w:cs="Times New Roman"/>
          <w:noProof w:val="0"/>
          <w:color w:val="333333"/>
          <w:sz w:val="24"/>
          <w:szCs w:val="24"/>
          <w:lang w:eastAsia="el-GR"/>
        </w:rPr>
      </w:pPr>
      <w:r w:rsidRPr="00BC6F8E">
        <w:rPr>
          <w:rStyle w:val="a3"/>
          <w:rFonts w:ascii="Times New Roman" w:eastAsia="Times New Roman" w:hAnsi="Times New Roman" w:cs="Times New Roman"/>
          <w:noProof w:val="0"/>
          <w:color w:val="333333"/>
          <w:sz w:val="24"/>
          <w:szCs w:val="24"/>
          <w:lang w:eastAsia="el-GR"/>
        </w:rPr>
        <w:t>Απάντηση</w:t>
      </w:r>
    </w:p>
    <w:p w14:paraId="2F732E49" w14:textId="77777777" w:rsidR="004E3639" w:rsidRPr="00BC6F8E" w:rsidRDefault="004E3639" w:rsidP="004E3639">
      <w:pPr>
        <w:pStyle w:val="Web"/>
        <w:jc w:val="both"/>
        <w:rPr>
          <w:color w:val="333333"/>
        </w:rPr>
      </w:pPr>
      <w:r w:rsidRPr="00BC6F8E">
        <w:rPr>
          <w:color w:val="333333"/>
        </w:rPr>
        <w:t>Το άρθρο 172 Ν. 4412/2016 «Παραλαβή - Εξουσιοδοτική διάταξη» αντικαταστάθηκε με το άρθρο 86 Ν.4782/2021 (ΦΕΚ Α` 36).</w:t>
      </w:r>
    </w:p>
    <w:p w14:paraId="70C36A1A" w14:textId="77777777" w:rsidR="004E3639" w:rsidRPr="00BC6F8E" w:rsidRDefault="004E3639" w:rsidP="004E3639">
      <w:pPr>
        <w:pStyle w:val="Web"/>
        <w:jc w:val="both"/>
        <w:rPr>
          <w:color w:val="333333"/>
        </w:rPr>
      </w:pPr>
      <w:r w:rsidRPr="00BC6F8E">
        <w:rPr>
          <w:rStyle w:val="a3"/>
          <w:color w:val="333333"/>
        </w:rPr>
        <w:t>Αρμοδιότητα σύστασης της επιτροπής παραλαβής</w:t>
      </w:r>
    </w:p>
    <w:p w14:paraId="13CA6182" w14:textId="77777777" w:rsidR="004E3639" w:rsidRPr="00BC6F8E" w:rsidRDefault="004E3639" w:rsidP="004E3639">
      <w:pPr>
        <w:pStyle w:val="Web"/>
        <w:jc w:val="both"/>
        <w:rPr>
          <w:color w:val="333333"/>
        </w:rPr>
      </w:pPr>
      <w:r w:rsidRPr="00BC6F8E">
        <w:rPr>
          <w:color w:val="333333"/>
        </w:rPr>
        <w:t>Αρμοδιότητα σύστασης της επιτροπής παραλαβής εξακολουθεί να είναι της προϊσταμένης αρχής, </w:t>
      </w:r>
      <w:r w:rsidRPr="00BC6F8E">
        <w:rPr>
          <w:rStyle w:val="a3"/>
          <w:color w:val="333333"/>
        </w:rPr>
        <w:t>μετά από τη γνωστοποίηση εκ μέρους της διευθύνουσας υπηρεσίας περάτωσης των εργασιών</w:t>
      </w:r>
      <w:r w:rsidRPr="00BC6F8E">
        <w:rPr>
          <w:color w:val="333333"/>
        </w:rPr>
        <w:t xml:space="preserve"> (το οποίο και συνιστά και σημαντική διαφοροποίηση, προς την κατεύθυνση της αποφυγής άσκοπων καθυστερήσεων ειδικά σε σχέση με τους εκπροσώπους των </w:t>
      </w:r>
      <w:proofErr w:type="spellStart"/>
      <w:r w:rsidRPr="00BC6F8E">
        <w:rPr>
          <w:color w:val="333333"/>
        </w:rPr>
        <w:t>Επιµελητηρίων</w:t>
      </w:r>
      <w:proofErr w:type="spellEnd"/>
      <w:r w:rsidRPr="00BC6F8E">
        <w:rPr>
          <w:color w:val="333333"/>
        </w:rPr>
        <w:t xml:space="preserve"> (ΤΕΕ, ΓΕΩΤΕΕ ).</w:t>
      </w:r>
    </w:p>
    <w:p w14:paraId="560B67A8" w14:textId="77777777" w:rsidR="004E3639" w:rsidRPr="00BC6F8E" w:rsidRDefault="004E3639" w:rsidP="004E3639">
      <w:pPr>
        <w:pStyle w:val="Web"/>
        <w:jc w:val="both"/>
        <w:rPr>
          <w:color w:val="333333"/>
        </w:rPr>
      </w:pPr>
      <w:r w:rsidRPr="00BC6F8E">
        <w:rPr>
          <w:color w:val="333333"/>
        </w:rPr>
        <w:t>Πολύ ορθά επισημαίνετε ότι η Δ/</w:t>
      </w:r>
      <w:proofErr w:type="spellStart"/>
      <w:r w:rsidRPr="00BC6F8E">
        <w:rPr>
          <w:color w:val="333333"/>
        </w:rPr>
        <w:t>νουσα</w:t>
      </w:r>
      <w:proofErr w:type="spellEnd"/>
      <w:r w:rsidRPr="00BC6F8E">
        <w:rPr>
          <w:color w:val="333333"/>
        </w:rPr>
        <w:t xml:space="preserve"> Υπηρεσία οφείλει να απευθύνει το σχετικό αίτημα και στη συνέχεια να εισηγηθεί τη σύσταση επιτροπής παραλαβής, προς την ΟΕ.</w:t>
      </w:r>
    </w:p>
    <w:p w14:paraId="0E94710D" w14:textId="77777777" w:rsidR="004E3639" w:rsidRPr="00BC6F8E" w:rsidRDefault="004E3639" w:rsidP="004E3639">
      <w:pPr>
        <w:pStyle w:val="Web"/>
        <w:jc w:val="both"/>
        <w:rPr>
          <w:color w:val="333333"/>
        </w:rPr>
      </w:pPr>
      <w:r w:rsidRPr="00BC6F8E">
        <w:rPr>
          <w:rStyle w:val="a3"/>
          <w:color w:val="333333"/>
        </w:rPr>
        <w:t>Ως προς τον τρόπο ορισμού της Επιτροπής Παραλαβής</w:t>
      </w:r>
    </w:p>
    <w:p w14:paraId="6FC1AB1B" w14:textId="77777777" w:rsidR="004E3639" w:rsidRPr="00BC6F8E" w:rsidRDefault="004E3639" w:rsidP="004E3639">
      <w:pPr>
        <w:pStyle w:val="Web"/>
        <w:jc w:val="both"/>
        <w:rPr>
          <w:color w:val="333333"/>
        </w:rPr>
      </w:pPr>
      <w:r w:rsidRPr="00BC6F8E">
        <w:rPr>
          <w:color w:val="333333"/>
        </w:rPr>
        <w:t xml:space="preserve">Νέα στοιχεία αποτελούν επίσης αφενός η υποχρέωση ορισμού του Προέδρου που προέρχεται υποχρεωτικά από άλλη αναθέτουσα αρχή και δύο (2) μελών, εκπροσώπων του Τεχνικού Επιμελητηρίου Ελλάδας (ΤΕΕ), δύο (2) εκπροσώπους του Τεχνικού </w:t>
      </w:r>
      <w:proofErr w:type="spellStart"/>
      <w:r w:rsidRPr="00BC6F8E">
        <w:rPr>
          <w:color w:val="333333"/>
        </w:rPr>
        <w:t>Επιµελητηρίου</w:t>
      </w:r>
      <w:proofErr w:type="spellEnd"/>
      <w:r w:rsidRPr="00BC6F8E">
        <w:rPr>
          <w:color w:val="333333"/>
        </w:rPr>
        <w:t xml:space="preserve"> Ελλάδας (ΤΕΕ) (ή του Γεωτεχνικού </w:t>
      </w:r>
      <w:proofErr w:type="spellStart"/>
      <w:r w:rsidRPr="00BC6F8E">
        <w:rPr>
          <w:color w:val="333333"/>
        </w:rPr>
        <w:t>Επιµελητηρίου</w:t>
      </w:r>
      <w:proofErr w:type="spellEnd"/>
      <w:r w:rsidRPr="00BC6F8E">
        <w:rPr>
          <w:color w:val="333333"/>
        </w:rPr>
        <w:t xml:space="preserve"> Ελλάδος (ΓΕΩΤΕΕ) σε περιπτώσεις </w:t>
      </w:r>
      <w:proofErr w:type="spellStart"/>
      <w:r w:rsidRPr="00BC6F8E">
        <w:rPr>
          <w:color w:val="333333"/>
        </w:rPr>
        <w:t>αµιγώς</w:t>
      </w:r>
      <w:proofErr w:type="spellEnd"/>
      <w:r w:rsidRPr="00BC6F8E">
        <w:rPr>
          <w:color w:val="333333"/>
        </w:rPr>
        <w:t xml:space="preserve"> γεωτεχνικών έργων), αφετέρου η πρόβλεψη ιδιαίτερης αμοιβής ανά συνεδρίαση για τους εκπροσώπους των </w:t>
      </w:r>
      <w:proofErr w:type="spellStart"/>
      <w:r w:rsidRPr="00BC6F8E">
        <w:rPr>
          <w:color w:val="333333"/>
        </w:rPr>
        <w:t>Επιµελητηρίων</w:t>
      </w:r>
      <w:proofErr w:type="spellEnd"/>
      <w:r w:rsidRPr="00BC6F8E">
        <w:rPr>
          <w:color w:val="333333"/>
        </w:rPr>
        <w:t xml:space="preserve"> και του Προέδρου της επιτροπής για τη διενέργεια της παραλαβής, η οποία καταβάλλεται από τις πιστώσεις του έργου, με καθορισμό αυτής μετά </w:t>
      </w:r>
      <w:r w:rsidRPr="00BC6F8E">
        <w:rPr>
          <w:rStyle w:val="a3"/>
          <w:color w:val="333333"/>
        </w:rPr>
        <w:t>από έκδοση σχετικής ΚΥΑ των Υπουργών Οικονομικών και Υποδομών και Μεταφορών</w:t>
      </w:r>
      <w:r w:rsidRPr="00BC6F8E">
        <w:rPr>
          <w:color w:val="333333"/>
        </w:rPr>
        <w:t xml:space="preserve"> ανά συνεδρίαση και αναλόγως µε το </w:t>
      </w:r>
      <w:proofErr w:type="spellStart"/>
      <w:r w:rsidRPr="00BC6F8E">
        <w:rPr>
          <w:color w:val="333333"/>
        </w:rPr>
        <w:t>οικονοµικό</w:t>
      </w:r>
      <w:proofErr w:type="spellEnd"/>
      <w:r w:rsidRPr="00BC6F8E">
        <w:rPr>
          <w:color w:val="333333"/>
        </w:rPr>
        <w:t xml:space="preserve"> </w:t>
      </w:r>
      <w:proofErr w:type="spellStart"/>
      <w:r w:rsidRPr="00BC6F8E">
        <w:rPr>
          <w:color w:val="333333"/>
        </w:rPr>
        <w:t>αντικείµενο</w:t>
      </w:r>
      <w:proofErr w:type="spellEnd"/>
      <w:r w:rsidRPr="00BC6F8E">
        <w:rPr>
          <w:color w:val="333333"/>
        </w:rPr>
        <w:t xml:space="preserve"> του έργου και τις τεχνικές δυσχέρειες της παραλαβής (παρ. 3), ενώ </w:t>
      </w:r>
      <w:r w:rsidRPr="00BC6F8E">
        <w:rPr>
          <w:rStyle w:val="a3"/>
          <w:color w:val="333333"/>
        </w:rPr>
        <w:t>τα όργανα της Διοίκησης (ως εκπροσώπων του Κυρίου του Έργου) παραμένουν μη αμειβόμενα. </w:t>
      </w:r>
      <w:r w:rsidRPr="00BC6F8E">
        <w:rPr>
          <w:rStyle w:val="a3"/>
          <w:color w:val="333333"/>
          <w:u w:val="single"/>
        </w:rPr>
        <w:t>Σημειωτέον ότι η προαναφερόμενη ΚΥΑ αναμένεται να εκδοθεί σύντομα.</w:t>
      </w:r>
    </w:p>
    <w:p w14:paraId="73CE0B2A" w14:textId="77777777" w:rsidR="004E3639" w:rsidRPr="00BC6F8E" w:rsidRDefault="004E3639" w:rsidP="004E3639">
      <w:pPr>
        <w:pStyle w:val="Web"/>
        <w:jc w:val="both"/>
        <w:rPr>
          <w:color w:val="333333"/>
        </w:rPr>
      </w:pPr>
      <w:r w:rsidRPr="00BC6F8E">
        <w:rPr>
          <w:rStyle w:val="a4"/>
          <w:color w:val="333333"/>
        </w:rPr>
        <w:lastRenderedPageBreak/>
        <w:t>"Ως προς τον τρόπο ορισμού των μελών της επιτροπής, ενώ στην έως τώρα ισχύουσα νομοθεσία ορίζεται με σαφήνεια ότι αυτά ορίζονται υποχρεωτικά ύστερα από κλήρωση, στην εν λόγω τροποποίηση δεν υπάρχει σχετική αναφορά"</w:t>
      </w:r>
      <w:r w:rsidRPr="00BC6F8E">
        <w:rPr>
          <w:color w:val="333333"/>
        </w:rPr>
        <w:t> (Γνώμη Α-45 ΕΑΑΔΗΣΥ).</w:t>
      </w:r>
    </w:p>
    <w:p w14:paraId="428F3AE0" w14:textId="77777777" w:rsidR="004E3639" w:rsidRPr="00BC6F8E" w:rsidRDefault="004E3639">
      <w:pPr>
        <w:rPr>
          <w:rFonts w:ascii="Times New Roman" w:hAnsi="Times New Roman" w:cs="Times New Roman"/>
          <w:sz w:val="24"/>
          <w:szCs w:val="24"/>
        </w:rPr>
      </w:pPr>
    </w:p>
    <w:sectPr w:rsidR="004E3639" w:rsidRPr="00BC6F8E"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3639"/>
    <w:rsid w:val="00441DD8"/>
    <w:rsid w:val="004E3639"/>
    <w:rsid w:val="005524A5"/>
    <w:rsid w:val="00A30587"/>
    <w:rsid w:val="00B16894"/>
    <w:rsid w:val="00BC6F8E"/>
    <w:rsid w:val="00CF1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F823"/>
  <w15:docId w15:val="{4D866068-D57A-4EBF-9161-7CEA39EA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4E3639"/>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E3639"/>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4E3639"/>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4E3639"/>
    <w:rPr>
      <w:rFonts w:ascii="Arial" w:eastAsia="Times New Roman" w:hAnsi="Arial" w:cs="Arial"/>
      <w:vanish/>
      <w:sz w:val="16"/>
      <w:szCs w:val="16"/>
      <w:lang w:eastAsia="el-GR"/>
    </w:rPr>
  </w:style>
  <w:style w:type="character" w:styleId="-">
    <w:name w:val="Hyperlink"/>
    <w:basedOn w:val="a0"/>
    <w:uiPriority w:val="99"/>
    <w:unhideWhenUsed/>
    <w:rsid w:val="004E3639"/>
    <w:rPr>
      <w:color w:val="0000FF"/>
      <w:u w:val="single"/>
    </w:rPr>
  </w:style>
  <w:style w:type="paragraph" w:styleId="z-0">
    <w:name w:val="HTML Bottom of Form"/>
    <w:basedOn w:val="a"/>
    <w:next w:val="a"/>
    <w:link w:val="z-Char0"/>
    <w:hidden/>
    <w:uiPriority w:val="99"/>
    <w:semiHidden/>
    <w:unhideWhenUsed/>
    <w:rsid w:val="004E3639"/>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4E3639"/>
    <w:rPr>
      <w:rFonts w:ascii="Arial" w:eastAsia="Times New Roman" w:hAnsi="Arial" w:cs="Arial"/>
      <w:vanish/>
      <w:sz w:val="16"/>
      <w:szCs w:val="16"/>
      <w:lang w:eastAsia="el-GR"/>
    </w:rPr>
  </w:style>
  <w:style w:type="paragraph" w:styleId="Web">
    <w:name w:val="Normal (Web)"/>
    <w:basedOn w:val="a"/>
    <w:uiPriority w:val="99"/>
    <w:semiHidden/>
    <w:unhideWhenUsed/>
    <w:rsid w:val="004E3639"/>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4E3639"/>
    <w:rPr>
      <w:b/>
      <w:bCs/>
    </w:rPr>
  </w:style>
  <w:style w:type="character" w:styleId="a4">
    <w:name w:val="Emphasis"/>
    <w:basedOn w:val="a0"/>
    <w:uiPriority w:val="20"/>
    <w:qFormat/>
    <w:rsid w:val="004E3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514">
      <w:bodyDiv w:val="1"/>
      <w:marLeft w:val="0"/>
      <w:marRight w:val="0"/>
      <w:marTop w:val="0"/>
      <w:marBottom w:val="0"/>
      <w:divBdr>
        <w:top w:val="none" w:sz="0" w:space="0" w:color="auto"/>
        <w:left w:val="none" w:sz="0" w:space="0" w:color="auto"/>
        <w:bottom w:val="none" w:sz="0" w:space="0" w:color="auto"/>
        <w:right w:val="none" w:sz="0" w:space="0" w:color="auto"/>
      </w:divBdr>
      <w:divsChild>
        <w:div w:id="1069351191">
          <w:marLeft w:val="-257"/>
          <w:marRight w:val="-257"/>
          <w:marTop w:val="0"/>
          <w:marBottom w:val="0"/>
          <w:divBdr>
            <w:top w:val="none" w:sz="0" w:space="0" w:color="auto"/>
            <w:left w:val="none" w:sz="0" w:space="0" w:color="auto"/>
            <w:bottom w:val="none" w:sz="0" w:space="0" w:color="auto"/>
            <w:right w:val="none" w:sz="0" w:space="0" w:color="auto"/>
          </w:divBdr>
          <w:divsChild>
            <w:div w:id="2120029844">
              <w:marLeft w:val="0"/>
              <w:marRight w:val="0"/>
              <w:marTop w:val="0"/>
              <w:marBottom w:val="0"/>
              <w:divBdr>
                <w:top w:val="none" w:sz="0" w:space="0" w:color="auto"/>
                <w:left w:val="none" w:sz="0" w:space="0" w:color="auto"/>
                <w:bottom w:val="none" w:sz="0" w:space="0" w:color="auto"/>
                <w:right w:val="none" w:sz="0" w:space="0" w:color="auto"/>
              </w:divBdr>
            </w:div>
          </w:divsChild>
        </w:div>
        <w:div w:id="1493721865">
          <w:marLeft w:val="-257"/>
          <w:marRight w:val="-257"/>
          <w:marTop w:val="0"/>
          <w:marBottom w:val="257"/>
          <w:divBdr>
            <w:top w:val="none" w:sz="0" w:space="0" w:color="auto"/>
            <w:left w:val="none" w:sz="0" w:space="0" w:color="auto"/>
            <w:bottom w:val="none" w:sz="0" w:space="0" w:color="auto"/>
            <w:right w:val="none" w:sz="0" w:space="0" w:color="auto"/>
          </w:divBdr>
          <w:divsChild>
            <w:div w:id="1585528578">
              <w:marLeft w:val="0"/>
              <w:marRight w:val="0"/>
              <w:marTop w:val="0"/>
              <w:marBottom w:val="0"/>
              <w:divBdr>
                <w:top w:val="none" w:sz="0" w:space="0" w:color="auto"/>
                <w:left w:val="none" w:sz="0" w:space="0" w:color="auto"/>
                <w:bottom w:val="none" w:sz="0" w:space="0" w:color="auto"/>
                <w:right w:val="none" w:sz="0" w:space="0" w:color="auto"/>
              </w:divBdr>
            </w:div>
          </w:divsChild>
        </w:div>
        <w:div w:id="1392461699">
          <w:marLeft w:val="-257"/>
          <w:marRight w:val="-257"/>
          <w:marTop w:val="0"/>
          <w:marBottom w:val="257"/>
          <w:divBdr>
            <w:top w:val="none" w:sz="0" w:space="0" w:color="auto"/>
            <w:left w:val="none" w:sz="0" w:space="0" w:color="auto"/>
            <w:bottom w:val="none" w:sz="0" w:space="0" w:color="auto"/>
            <w:right w:val="none" w:sz="0" w:space="0" w:color="auto"/>
          </w:divBdr>
          <w:divsChild>
            <w:div w:id="102265422">
              <w:marLeft w:val="0"/>
              <w:marRight w:val="0"/>
              <w:marTop w:val="0"/>
              <w:marBottom w:val="0"/>
              <w:divBdr>
                <w:top w:val="none" w:sz="0" w:space="0" w:color="auto"/>
                <w:left w:val="none" w:sz="0" w:space="0" w:color="auto"/>
                <w:bottom w:val="none" w:sz="0" w:space="0" w:color="auto"/>
                <w:right w:val="none" w:sz="0" w:space="0" w:color="auto"/>
              </w:divBdr>
            </w:div>
          </w:divsChild>
        </w:div>
        <w:div w:id="172647187">
          <w:marLeft w:val="-257"/>
          <w:marRight w:val="-257"/>
          <w:marTop w:val="0"/>
          <w:marBottom w:val="257"/>
          <w:divBdr>
            <w:top w:val="none" w:sz="0" w:space="0" w:color="auto"/>
            <w:left w:val="none" w:sz="0" w:space="0" w:color="auto"/>
            <w:bottom w:val="none" w:sz="0" w:space="0" w:color="auto"/>
            <w:right w:val="none" w:sz="0" w:space="0" w:color="auto"/>
          </w:divBdr>
          <w:divsChild>
            <w:div w:id="271209608">
              <w:marLeft w:val="0"/>
              <w:marRight w:val="0"/>
              <w:marTop w:val="0"/>
              <w:marBottom w:val="0"/>
              <w:divBdr>
                <w:top w:val="none" w:sz="0" w:space="0" w:color="auto"/>
                <w:left w:val="none" w:sz="0" w:space="0" w:color="auto"/>
                <w:bottom w:val="none" w:sz="0" w:space="0" w:color="auto"/>
                <w:right w:val="none" w:sz="0" w:space="0" w:color="auto"/>
              </w:divBdr>
            </w:div>
          </w:divsChild>
        </w:div>
        <w:div w:id="520558238">
          <w:marLeft w:val="-257"/>
          <w:marRight w:val="-257"/>
          <w:marTop w:val="0"/>
          <w:marBottom w:val="257"/>
          <w:divBdr>
            <w:top w:val="none" w:sz="0" w:space="0" w:color="auto"/>
            <w:left w:val="none" w:sz="0" w:space="0" w:color="auto"/>
            <w:bottom w:val="none" w:sz="0" w:space="0" w:color="auto"/>
            <w:right w:val="none" w:sz="0" w:space="0" w:color="auto"/>
          </w:divBdr>
          <w:divsChild>
            <w:div w:id="2100909329">
              <w:marLeft w:val="0"/>
              <w:marRight w:val="0"/>
              <w:marTop w:val="0"/>
              <w:marBottom w:val="0"/>
              <w:divBdr>
                <w:top w:val="none" w:sz="0" w:space="0" w:color="auto"/>
                <w:left w:val="none" w:sz="0" w:space="0" w:color="auto"/>
                <w:bottom w:val="none" w:sz="0" w:space="0" w:color="auto"/>
                <w:right w:val="none" w:sz="0" w:space="0" w:color="auto"/>
              </w:divBdr>
            </w:div>
          </w:divsChild>
        </w:div>
        <w:div w:id="1241021769">
          <w:marLeft w:val="-257"/>
          <w:marRight w:val="-257"/>
          <w:marTop w:val="0"/>
          <w:marBottom w:val="257"/>
          <w:divBdr>
            <w:top w:val="none" w:sz="0" w:space="0" w:color="auto"/>
            <w:left w:val="none" w:sz="0" w:space="0" w:color="auto"/>
            <w:bottom w:val="none" w:sz="0" w:space="0" w:color="auto"/>
            <w:right w:val="none" w:sz="0" w:space="0" w:color="auto"/>
          </w:divBdr>
          <w:divsChild>
            <w:div w:id="697702904">
              <w:marLeft w:val="0"/>
              <w:marRight w:val="0"/>
              <w:marTop w:val="0"/>
              <w:marBottom w:val="0"/>
              <w:divBdr>
                <w:top w:val="none" w:sz="0" w:space="0" w:color="auto"/>
                <w:left w:val="none" w:sz="0" w:space="0" w:color="auto"/>
                <w:bottom w:val="none" w:sz="0" w:space="0" w:color="auto"/>
                <w:right w:val="none" w:sz="0" w:space="0" w:color="auto"/>
              </w:divBdr>
            </w:div>
          </w:divsChild>
        </w:div>
        <w:div w:id="1756898148">
          <w:marLeft w:val="-257"/>
          <w:marRight w:val="-257"/>
          <w:marTop w:val="0"/>
          <w:marBottom w:val="257"/>
          <w:divBdr>
            <w:top w:val="none" w:sz="0" w:space="0" w:color="auto"/>
            <w:left w:val="none" w:sz="0" w:space="0" w:color="auto"/>
            <w:bottom w:val="none" w:sz="0" w:space="0" w:color="auto"/>
            <w:right w:val="none" w:sz="0" w:space="0" w:color="auto"/>
          </w:divBdr>
          <w:divsChild>
            <w:div w:id="71200448">
              <w:marLeft w:val="0"/>
              <w:marRight w:val="0"/>
              <w:marTop w:val="0"/>
              <w:marBottom w:val="0"/>
              <w:divBdr>
                <w:top w:val="none" w:sz="0" w:space="0" w:color="auto"/>
                <w:left w:val="none" w:sz="0" w:space="0" w:color="auto"/>
                <w:bottom w:val="none" w:sz="0" w:space="0" w:color="auto"/>
                <w:right w:val="none" w:sz="0" w:space="0" w:color="auto"/>
              </w:divBdr>
            </w:div>
          </w:divsChild>
        </w:div>
        <w:div w:id="1447777780">
          <w:marLeft w:val="-257"/>
          <w:marRight w:val="-257"/>
          <w:marTop w:val="0"/>
          <w:marBottom w:val="257"/>
          <w:divBdr>
            <w:top w:val="none" w:sz="0" w:space="0" w:color="auto"/>
            <w:left w:val="none" w:sz="0" w:space="0" w:color="auto"/>
            <w:bottom w:val="none" w:sz="0" w:space="0" w:color="auto"/>
            <w:right w:val="none" w:sz="0" w:space="0" w:color="auto"/>
          </w:divBdr>
          <w:divsChild>
            <w:div w:id="13477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2401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3</cp:revision>
  <dcterms:created xsi:type="dcterms:W3CDTF">2022-05-09T20:47:00Z</dcterms:created>
  <dcterms:modified xsi:type="dcterms:W3CDTF">2025-03-20T14:06:00Z</dcterms:modified>
</cp:coreProperties>
</file>