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34" w:rsidRDefault="00F55134" w:rsidP="00B22795">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F55134">
        <w:rPr>
          <w:rFonts w:ascii="Times New Roman" w:hAnsi="Times New Roman" w:cs="Times New Roman"/>
          <w:b/>
          <w:sz w:val="24"/>
          <w:szCs w:val="24"/>
        </w:rPr>
        <w:t xml:space="preserve">: </w:t>
      </w:r>
      <w:r w:rsidR="00B22795" w:rsidRPr="00F55134">
        <w:rPr>
          <w:rFonts w:ascii="Times New Roman" w:hAnsi="Times New Roman" w:cs="Times New Roman"/>
          <w:b/>
          <w:sz w:val="24"/>
          <w:szCs w:val="24"/>
        </w:rPr>
        <w:t>Λογιστικό λάθος κατά την σύνταξη ΑΠΕ</w:t>
      </w:r>
    </w:p>
    <w:p w:rsidR="00F55134" w:rsidRPr="00907DB3" w:rsidRDefault="00B22795" w:rsidP="00F55134">
      <w:pPr>
        <w:spacing w:after="0" w:line="240" w:lineRule="auto"/>
        <w:jc w:val="both"/>
        <w:rPr>
          <w:rFonts w:ascii="Times New Roman" w:eastAsia="Times New Roman" w:hAnsi="Times New Roman" w:cs="Times New Roman"/>
          <w:sz w:val="24"/>
          <w:szCs w:val="24"/>
          <w:lang w:eastAsia="el-GR"/>
        </w:rPr>
      </w:pPr>
      <w:r w:rsidRPr="00F55134">
        <w:rPr>
          <w:rFonts w:ascii="Times New Roman" w:hAnsi="Times New Roman" w:cs="Times New Roman"/>
          <w:b/>
          <w:sz w:val="24"/>
          <w:szCs w:val="24"/>
        </w:rPr>
        <w:t xml:space="preserve"> </w:t>
      </w:r>
      <w:r w:rsidR="00F55134">
        <w:rPr>
          <w:rFonts w:ascii="Times New Roman" w:eastAsia="Times New Roman" w:hAnsi="Times New Roman" w:cs="Times New Roman"/>
          <w:sz w:val="24"/>
          <w:szCs w:val="24"/>
          <w:lang w:eastAsia="el-GR"/>
        </w:rPr>
        <w:t xml:space="preserve">Ημερομηνία υποβολής </w:t>
      </w:r>
      <w:r w:rsidR="00F55134" w:rsidRPr="00907DB3">
        <w:rPr>
          <w:rFonts w:ascii="Times New Roman" w:eastAsia="Times New Roman" w:hAnsi="Times New Roman" w:cs="Times New Roman"/>
          <w:sz w:val="24"/>
          <w:szCs w:val="24"/>
          <w:lang w:eastAsia="el-GR"/>
        </w:rPr>
        <w:t xml:space="preserve">: </w:t>
      </w:r>
      <w:r w:rsidR="00F55134">
        <w:rPr>
          <w:rFonts w:ascii="Times New Roman" w:eastAsia="Times New Roman" w:hAnsi="Times New Roman" w:cs="Times New Roman"/>
          <w:b/>
          <w:i/>
          <w:color w:val="385623" w:themeColor="accent6" w:themeShade="80"/>
          <w:sz w:val="24"/>
          <w:szCs w:val="24"/>
          <w:lang w:eastAsia="el-GR"/>
        </w:rPr>
        <w:t>21</w:t>
      </w:r>
      <w:r w:rsidR="00F55134" w:rsidRPr="00907DB3">
        <w:rPr>
          <w:rFonts w:ascii="Times New Roman" w:eastAsia="Times New Roman" w:hAnsi="Times New Roman" w:cs="Times New Roman"/>
          <w:b/>
          <w:i/>
          <w:color w:val="385623" w:themeColor="accent6" w:themeShade="80"/>
          <w:sz w:val="24"/>
          <w:szCs w:val="24"/>
          <w:lang w:eastAsia="el-GR"/>
        </w:rPr>
        <w:t>/</w:t>
      </w:r>
      <w:r w:rsidR="00F55134">
        <w:rPr>
          <w:rFonts w:ascii="Times New Roman" w:eastAsia="Times New Roman" w:hAnsi="Times New Roman" w:cs="Times New Roman"/>
          <w:b/>
          <w:i/>
          <w:color w:val="385623" w:themeColor="accent6" w:themeShade="80"/>
          <w:sz w:val="24"/>
          <w:szCs w:val="24"/>
          <w:lang w:eastAsia="el-GR"/>
        </w:rPr>
        <w:t>11</w:t>
      </w:r>
      <w:bookmarkStart w:id="0" w:name="_GoBack"/>
      <w:bookmarkEnd w:id="0"/>
      <w:r w:rsidR="00F55134" w:rsidRPr="00907DB3">
        <w:rPr>
          <w:rFonts w:ascii="Times New Roman" w:eastAsia="Times New Roman" w:hAnsi="Times New Roman" w:cs="Times New Roman"/>
          <w:b/>
          <w:i/>
          <w:color w:val="385623" w:themeColor="accent6" w:themeShade="80"/>
          <w:sz w:val="24"/>
          <w:szCs w:val="24"/>
          <w:lang w:eastAsia="el-GR"/>
        </w:rPr>
        <w:t>/2024</w:t>
      </w:r>
    </w:p>
    <w:p w:rsidR="00B22795" w:rsidRPr="00F55134" w:rsidRDefault="00B22795" w:rsidP="00B22795">
      <w:pPr>
        <w:jc w:val="both"/>
        <w:rPr>
          <w:rFonts w:ascii="Times New Roman" w:hAnsi="Times New Roman" w:cs="Times New Roman"/>
          <w:b/>
          <w:sz w:val="24"/>
          <w:szCs w:val="24"/>
        </w:rPr>
      </w:pPr>
    </w:p>
    <w:p w:rsidR="00880252" w:rsidRPr="00F55134" w:rsidRDefault="00880252" w:rsidP="00B22795">
      <w:pPr>
        <w:jc w:val="both"/>
        <w:rPr>
          <w:rFonts w:ascii="Times New Roman" w:hAnsi="Times New Roman" w:cs="Times New Roman"/>
          <w:b/>
          <w:sz w:val="24"/>
          <w:szCs w:val="24"/>
        </w:rPr>
      </w:pPr>
      <w:r w:rsidRPr="00F55134">
        <w:rPr>
          <w:rFonts w:ascii="Times New Roman" w:hAnsi="Times New Roman" w:cs="Times New Roman"/>
          <w:b/>
          <w:sz w:val="24"/>
          <w:szCs w:val="24"/>
        </w:rPr>
        <w:t xml:space="preserve">Ερώτηση : </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Έχω αναλάβει ένα έργο. Συμφωνητικό 150.000,00 Ευρώ</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Έκανα τον 1ο ΑΠΕ όπου συμπεριέλαβα   την 1η Συμπληρωματική σύμβαση ποσού των 22.500 Ευρώ , ποσοστό 15% σύνολο 1.750.000,00 Ευρώ.</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Είχα πει στον επιβλέποντα και στον προϊστάμενο πως οι ποσότητες του 1ου ΑΠΕ και της 1ης Σ.Σ. είναι και οι τελικές του έργου.</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 xml:space="preserve">Δυστυχώς κάνοντας έναν έλεγχο στις επιμετρήσεις , διαπίστωσα λάθη στις αθροίσεις των ποσοτήτων σε τρείς εργασίες. Όχι λάθη </w:t>
      </w:r>
      <w:proofErr w:type="spellStart"/>
      <w:r w:rsidRPr="00F55134">
        <w:rPr>
          <w:rFonts w:ascii="Times New Roman" w:hAnsi="Times New Roman" w:cs="Times New Roman"/>
          <w:sz w:val="24"/>
          <w:szCs w:val="24"/>
        </w:rPr>
        <w:t>επιμετρητικά</w:t>
      </w:r>
      <w:proofErr w:type="spellEnd"/>
      <w:r w:rsidRPr="00F55134">
        <w:rPr>
          <w:rFonts w:ascii="Times New Roman" w:hAnsi="Times New Roman" w:cs="Times New Roman"/>
          <w:sz w:val="24"/>
          <w:szCs w:val="24"/>
        </w:rPr>
        <w:t xml:space="preserve"> αλλά λάθη στις αθροίσεις και στις μεταφορές αυτώ των αθροίσεων στην στήλη με βάση  την οποία είχα συντάξει τον ΑΠΕ. Λογιστικά λάθη δηλαδή.</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lang w:val="en-US"/>
        </w:rPr>
        <w:t>T</w:t>
      </w:r>
      <w:r w:rsidRPr="00F55134">
        <w:rPr>
          <w:rFonts w:ascii="Times New Roman" w:hAnsi="Times New Roman" w:cs="Times New Roman"/>
          <w:sz w:val="24"/>
          <w:szCs w:val="24"/>
        </w:rPr>
        <w:t xml:space="preserve">α λάθη αυτά αθροιζόμενα και πολλαπλασιαζόμενα με τις τιμές </w:t>
      </w:r>
      <w:proofErr w:type="spellStart"/>
      <w:r w:rsidRPr="00F55134">
        <w:rPr>
          <w:rFonts w:ascii="Times New Roman" w:hAnsi="Times New Roman" w:cs="Times New Roman"/>
          <w:sz w:val="24"/>
          <w:szCs w:val="24"/>
        </w:rPr>
        <w:t>μονάδος</w:t>
      </w:r>
      <w:proofErr w:type="spellEnd"/>
      <w:r w:rsidRPr="00F55134">
        <w:rPr>
          <w:rFonts w:ascii="Times New Roman" w:hAnsi="Times New Roman" w:cs="Times New Roman"/>
          <w:sz w:val="24"/>
          <w:szCs w:val="24"/>
        </w:rPr>
        <w:t>, μας δίνουν αποτέλεσμα ~8.000,00 Ευρώ!</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Η προθεσμία του έργου λήγει στις 30-12-2024.</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 xml:space="preserve">Το έργο </w:t>
      </w:r>
      <w:r w:rsidR="00F55134">
        <w:rPr>
          <w:rFonts w:ascii="Times New Roman" w:hAnsi="Times New Roman" w:cs="Times New Roman"/>
          <w:sz w:val="24"/>
          <w:szCs w:val="24"/>
        </w:rPr>
        <w:t>έχει ολοκληρωθεί κατασκευαστικά21</w:t>
      </w:r>
      <w:r w:rsidRPr="00F55134">
        <w:rPr>
          <w:rFonts w:ascii="Times New Roman" w:hAnsi="Times New Roman" w:cs="Times New Roman"/>
          <w:sz w:val="24"/>
          <w:szCs w:val="24"/>
        </w:rPr>
        <w:t xml:space="preserve">Ο προϊστάμενος αρνείται να κάνει 2η Σ.Σ. για να συμπεριλάβουμε τις </w:t>
      </w:r>
      <w:proofErr w:type="spellStart"/>
      <w:r w:rsidRPr="00F55134">
        <w:rPr>
          <w:rFonts w:ascii="Times New Roman" w:hAnsi="Times New Roman" w:cs="Times New Roman"/>
          <w:sz w:val="24"/>
          <w:szCs w:val="24"/>
        </w:rPr>
        <w:t>επι</w:t>
      </w:r>
      <w:proofErr w:type="spellEnd"/>
      <w:r w:rsidRPr="00F55134">
        <w:rPr>
          <w:rFonts w:ascii="Times New Roman" w:hAnsi="Times New Roman" w:cs="Times New Roman"/>
          <w:sz w:val="24"/>
          <w:szCs w:val="24"/>
        </w:rPr>
        <w:t xml:space="preserve"> πλέον ποσότητες που  προέκυψαν από λογιστικά σφάλματα δικά μου!</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 xml:space="preserve">(Βεβαίως ο ΑΠΕ συντάσσεται από την υπηρεσία , αλλά όπως γνωρίζετε τις ποσότητες τις είχα υπολογίσει </w:t>
      </w:r>
      <w:proofErr w:type="spellStart"/>
      <w:r w:rsidRPr="00F55134">
        <w:rPr>
          <w:rFonts w:ascii="Times New Roman" w:hAnsi="Times New Roman" w:cs="Times New Roman"/>
          <w:sz w:val="24"/>
          <w:szCs w:val="24"/>
        </w:rPr>
        <w:t>εγω</w:t>
      </w:r>
      <w:proofErr w:type="spellEnd"/>
      <w:r w:rsidRPr="00F55134">
        <w:rPr>
          <w:rFonts w:ascii="Times New Roman" w:hAnsi="Times New Roman" w:cs="Times New Roman"/>
          <w:sz w:val="24"/>
          <w:szCs w:val="24"/>
        </w:rPr>
        <w:t xml:space="preserve"> , για αυτό και γράφω σφάλματα δικά μου.</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Τα γράφω αυτά για να σας δείξω πως δεν έχω πρόβλημα με την υπηρεσία.</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Το λάθος είναι καθαρά δικό μου!)</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 xml:space="preserve">Το ερώτημα μου με </w:t>
      </w:r>
      <w:proofErr w:type="spellStart"/>
      <w:r w:rsidRPr="00F55134">
        <w:rPr>
          <w:rFonts w:ascii="Times New Roman" w:hAnsi="Times New Roman" w:cs="Times New Roman"/>
          <w:sz w:val="24"/>
          <w:szCs w:val="24"/>
        </w:rPr>
        <w:t>ποίον</w:t>
      </w:r>
      <w:proofErr w:type="spellEnd"/>
      <w:r w:rsidRPr="00F55134">
        <w:rPr>
          <w:rFonts w:ascii="Times New Roman" w:hAnsi="Times New Roman" w:cs="Times New Roman"/>
          <w:sz w:val="24"/>
          <w:szCs w:val="24"/>
        </w:rPr>
        <w:t xml:space="preserve"> τρόπο μπορώ να διεκδικήσω αυτά τα χρήματα , εφόσον αρνείται η υπηρεσία να συντάξει 2η Σ.Σ.;</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 xml:space="preserve">Να βάλω στην τελική επιμέτρηση τις σωστές ποσότητες (μεγαλύτερες από τις συμβατικές εννοείται), την οποία είμαι σίγουρος πως θα εγκρίνει η υπηρεσία και να τα διεκδικήσω πότε και πως; </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Προβλέπεται κάποια άλλη διαδικασία εκτός από δικαστική διεκδίκηση;</w:t>
      </w:r>
    </w:p>
    <w:p w:rsidR="009E26D6"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(Με δικαστήρια, από ότι βλέπετε τα ποσά είναι μικρά και μάλλον τα δικαστήρια  θα πάρουν και πολύ χρόνο και πολυέξοδα θα είναι και δεν ξέρω και το αποτέλεσμα , αφού δεν μου έχει ξανασυμβεί κάτι ανάλογο)</w:t>
      </w:r>
    </w:p>
    <w:p w:rsidR="0051271B" w:rsidRPr="00F55134" w:rsidRDefault="0051271B" w:rsidP="00B22795">
      <w:pPr>
        <w:jc w:val="both"/>
        <w:rPr>
          <w:rFonts w:ascii="Times New Roman" w:hAnsi="Times New Roman" w:cs="Times New Roman"/>
          <w:sz w:val="24"/>
          <w:szCs w:val="24"/>
        </w:rPr>
      </w:pPr>
    </w:p>
    <w:p w:rsidR="0051271B" w:rsidRPr="00F55134" w:rsidRDefault="0051271B" w:rsidP="00B22795">
      <w:pPr>
        <w:jc w:val="both"/>
        <w:rPr>
          <w:rFonts w:ascii="Times New Roman" w:hAnsi="Times New Roman" w:cs="Times New Roman"/>
          <w:sz w:val="24"/>
          <w:szCs w:val="24"/>
        </w:rPr>
      </w:pPr>
    </w:p>
    <w:p w:rsidR="0051271B" w:rsidRPr="00F55134" w:rsidRDefault="0051271B" w:rsidP="00B22795">
      <w:pPr>
        <w:jc w:val="both"/>
        <w:rPr>
          <w:rFonts w:ascii="Times New Roman" w:hAnsi="Times New Roman" w:cs="Times New Roman"/>
          <w:b/>
          <w:sz w:val="24"/>
          <w:szCs w:val="24"/>
        </w:rPr>
      </w:pPr>
      <w:r w:rsidRPr="00F55134">
        <w:rPr>
          <w:rFonts w:ascii="Times New Roman" w:hAnsi="Times New Roman" w:cs="Times New Roman"/>
          <w:b/>
          <w:sz w:val="24"/>
          <w:szCs w:val="24"/>
        </w:rPr>
        <w:t xml:space="preserve">Απάντηση : </w:t>
      </w:r>
    </w:p>
    <w:p w:rsidR="00880252" w:rsidRPr="00F55134" w:rsidRDefault="00880252" w:rsidP="00B22795">
      <w:pPr>
        <w:jc w:val="both"/>
        <w:rPr>
          <w:rFonts w:ascii="Times New Roman" w:hAnsi="Times New Roman" w:cs="Times New Roman"/>
          <w:b/>
          <w:sz w:val="24"/>
          <w:szCs w:val="24"/>
        </w:rPr>
      </w:pPr>
      <w:r w:rsidRPr="00F55134">
        <w:rPr>
          <w:rFonts w:ascii="Times New Roman" w:hAnsi="Times New Roman" w:cs="Times New Roman"/>
          <w:b/>
          <w:sz w:val="24"/>
          <w:szCs w:val="24"/>
        </w:rPr>
        <w:lastRenderedPageBreak/>
        <w:t>Προφανώς πρόκειται για περίπτωση αναντιστοιχίας – λόγω εμφιλοχώρησης Λογιστικού λάθους κατά την σύνταξη ΑΠΕ - των ποσοτήτων της Επιμέτρησης με αυτές που συμπεριλαμβάνονται στον εγκεκριμένο ΑΠΕ.</w:t>
      </w:r>
    </w:p>
    <w:p w:rsidR="00B22795" w:rsidRPr="00F55134" w:rsidRDefault="00B22795" w:rsidP="00B22795">
      <w:pPr>
        <w:pStyle w:val="3"/>
      </w:pPr>
      <w:r w:rsidRPr="00F55134">
        <w:t>Ενέργειες της ΔΥ για την σύνταξη και έγκριση Α.Π.Ε και Π.Κ.Τ.Μ.Ν.Ε</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Ο Ανακεφαλαιωτικός Πίνακας Εργασιών αποστέλλεται με μέριμνα του Επιβλέποντα με διαβιβαστικό έγγραφο στον Προϊστάμενο της Διευθύνουσας Υπηρεσίας, στο οποίο αναφέρονται και οι απόψεις του Επιβλέποντα σε τυχόν ένσταση του Αναδόχου, το οποίο ελέγχει και υπογράφει ο Προϊστάμενος της Διευθύνουσας Υπηρεσίας και στη συνέχεια, μετά από έλεγχο, υπογράφει ο Διευθυντής της Υπηρεσίας. Μετά την έγκρισή τους, ο ΑΠΕ και το ΠΚΤΜΝE κοινοποιούνται με μέριμνα του Επιβλέποντα στον Ανάδοχο, ο οποίος είναι υποχρεωμένος να εκτελέσει τις σχετικές εργασίες, χωρίς να θίγεται το δικαίωμα του για επίλυση τυχόν διαφοράς.</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t>Ο ΑΠΕ και τα ΠΚΤΜΝE υπογράφονται για λογαριασμό της Διευθύνουσας Υπηρεσίας από τον Επιβλέποντα μηχανικό του Έργου και τον Προϊστάμενο της Διευθύνουσας Υπηρεσίας Κατασκευών. Φέρει επίσης την υπογραφή του Αναδόχου, με επιφύλαξη ή χωρίς. Για τις περιπτώσεις άρνησης του Αναδόχου να υπογράψει τον ΑΠΕ ή υπογραφής του με επιφύλαξη, αναφέρονται ανωτέρω οι διαδικασίες που ακολουθούνται. Ο ΑΠΕ και τα ΠΚΤΜΝE συντάσσονται σε επτά (7) αντίγραφα εκ των οποίων τέσσερα (4) αποστέλλονται στην Προϊσταμένη Αρχή για έλεγχο και έκδοση εγκριτικής απόφασης και από ένα (1) αντίγραφο για το Τμήμα Κατασκευών (αρχείο Διευθύνουσας Υπηρεσίας), για τον Επιβλέποντα και για τον Ανάδοχο.</w:t>
      </w:r>
    </w:p>
    <w:p w:rsidR="00B22795" w:rsidRPr="00F55134" w:rsidRDefault="00B22795" w:rsidP="00B22795">
      <w:pPr>
        <w:pStyle w:val="numbered2"/>
        <w:spacing w:before="0"/>
        <w:ind w:left="0" w:right="-57" w:firstLine="0"/>
        <w:rPr>
          <w:rFonts w:ascii="Times New Roman" w:eastAsiaTheme="minorHAnsi" w:hAnsi="Times New Roman" w:cs="Times New Roman"/>
          <w:sz w:val="24"/>
          <w:szCs w:val="24"/>
        </w:rPr>
      </w:pPr>
      <w:r w:rsidRPr="00F55134">
        <w:rPr>
          <w:rFonts w:ascii="Times New Roman" w:eastAsiaTheme="minorHAnsi" w:hAnsi="Times New Roman" w:cs="Times New Roman"/>
          <w:sz w:val="24"/>
          <w:szCs w:val="24"/>
        </w:rPr>
        <w:t xml:space="preserve">Συμπληρωματικά αναφέρουμε τα εξής :  </w:t>
      </w:r>
    </w:p>
    <w:p w:rsidR="00B22795" w:rsidRPr="00F55134" w:rsidRDefault="00B22795" w:rsidP="00B22795">
      <w:pPr>
        <w:pStyle w:val="numbered2"/>
        <w:numPr>
          <w:ilvl w:val="0"/>
          <w:numId w:val="2"/>
        </w:numPr>
        <w:spacing w:before="0"/>
        <w:ind w:right="-57"/>
        <w:rPr>
          <w:rFonts w:ascii="Times New Roman" w:eastAsiaTheme="minorHAnsi" w:hAnsi="Times New Roman" w:cs="Times New Roman"/>
          <w:sz w:val="24"/>
          <w:szCs w:val="24"/>
        </w:rPr>
      </w:pPr>
      <w:r w:rsidRPr="00F55134">
        <w:rPr>
          <w:rFonts w:ascii="Times New Roman" w:eastAsiaTheme="minorHAnsi" w:hAnsi="Times New Roman" w:cs="Times New Roman"/>
          <w:sz w:val="24"/>
          <w:szCs w:val="24"/>
        </w:rPr>
        <w:t>Το σχέδιο ΑΠΕ πρέπει να τίθεται υπόψη του Αναδόχου και στο διαβιβαστικό υποβολής του σχεδίου ΑΠΕ να γίνεται μνεία τυχόν αντιρρήσεων αυτού.</w:t>
      </w:r>
    </w:p>
    <w:p w:rsidR="00B22795" w:rsidRPr="00F55134" w:rsidRDefault="00B22795" w:rsidP="00B22795">
      <w:pPr>
        <w:pStyle w:val="numbered2"/>
        <w:numPr>
          <w:ilvl w:val="0"/>
          <w:numId w:val="2"/>
        </w:numPr>
        <w:spacing w:before="0"/>
        <w:ind w:right="-57"/>
        <w:rPr>
          <w:rFonts w:ascii="Times New Roman" w:eastAsiaTheme="minorHAnsi" w:hAnsi="Times New Roman" w:cs="Times New Roman"/>
          <w:sz w:val="24"/>
          <w:szCs w:val="24"/>
        </w:rPr>
      </w:pPr>
      <w:r w:rsidRPr="00F55134">
        <w:rPr>
          <w:rFonts w:ascii="Times New Roman" w:eastAsiaTheme="minorHAnsi" w:hAnsi="Times New Roman" w:cs="Times New Roman"/>
          <w:sz w:val="24"/>
          <w:szCs w:val="24"/>
        </w:rPr>
        <w:t>Το σχέδιο ΑΠΕ πρέπει να καλύπτει τις υπερβάσεις όλων των δαπανών (εργασιών, αναθεώρησης, ΦΠΑ).</w:t>
      </w:r>
    </w:p>
    <w:p w:rsidR="0051271B" w:rsidRPr="00F55134" w:rsidRDefault="00B22795" w:rsidP="0051271B">
      <w:pPr>
        <w:pStyle w:val="numbered2"/>
        <w:numPr>
          <w:ilvl w:val="0"/>
          <w:numId w:val="2"/>
        </w:numPr>
        <w:spacing w:before="0"/>
        <w:ind w:right="-57"/>
        <w:rPr>
          <w:rFonts w:ascii="Times New Roman" w:eastAsiaTheme="minorHAnsi" w:hAnsi="Times New Roman" w:cs="Times New Roman"/>
          <w:sz w:val="24"/>
          <w:szCs w:val="24"/>
        </w:rPr>
      </w:pPr>
      <w:r w:rsidRPr="00F55134">
        <w:rPr>
          <w:rFonts w:ascii="Times New Roman" w:eastAsiaTheme="minorHAnsi" w:hAnsi="Times New Roman" w:cs="Times New Roman"/>
          <w:sz w:val="24"/>
          <w:szCs w:val="24"/>
        </w:rPr>
        <w:t>Το σχέδιο ΑΠΕ είναι υποχρεωτικό να τηρηθεί από την Υπηρεσία κα</w:t>
      </w:r>
      <w:r w:rsidR="0051271B" w:rsidRPr="00F55134">
        <w:rPr>
          <w:rFonts w:ascii="Times New Roman" w:eastAsiaTheme="minorHAnsi" w:hAnsi="Times New Roman" w:cs="Times New Roman"/>
          <w:sz w:val="24"/>
          <w:szCs w:val="24"/>
        </w:rPr>
        <w:t>τά τη σύνταξη του κανονικού ΑΠΕ</w:t>
      </w:r>
    </w:p>
    <w:p w:rsidR="0051271B" w:rsidRPr="00F55134" w:rsidRDefault="0051271B" w:rsidP="0051271B">
      <w:pPr>
        <w:pStyle w:val="numbered2"/>
        <w:spacing w:before="0"/>
        <w:ind w:left="0" w:right="-57" w:firstLine="0"/>
        <w:rPr>
          <w:rFonts w:ascii="Times New Roman" w:eastAsiaTheme="minorHAnsi" w:hAnsi="Times New Roman" w:cs="Times New Roman"/>
          <w:sz w:val="24"/>
          <w:szCs w:val="24"/>
        </w:rPr>
      </w:pPr>
    </w:p>
    <w:p w:rsidR="0051271B" w:rsidRPr="00F55134" w:rsidRDefault="0051271B" w:rsidP="0051271B">
      <w:pPr>
        <w:pStyle w:val="numbered2"/>
        <w:spacing w:before="0"/>
        <w:ind w:left="0" w:right="-57" w:firstLine="0"/>
        <w:rPr>
          <w:rFonts w:ascii="Times New Roman" w:eastAsiaTheme="minorHAnsi" w:hAnsi="Times New Roman" w:cs="Times New Roman"/>
          <w:sz w:val="24"/>
          <w:szCs w:val="24"/>
        </w:rPr>
      </w:pPr>
      <w:r w:rsidRPr="00F55134">
        <w:rPr>
          <w:rFonts w:ascii="Times New Roman" w:eastAsiaTheme="minorHAnsi" w:hAnsi="Times New Roman" w:cs="Times New Roman"/>
          <w:sz w:val="24"/>
          <w:szCs w:val="24"/>
        </w:rPr>
        <w:t>Δ</w:t>
      </w:r>
      <w:r w:rsidRPr="00F55134">
        <w:rPr>
          <w:rFonts w:ascii="Times New Roman" w:hAnsi="Times New Roman" w:cs="Times New Roman"/>
          <w:b/>
          <w:sz w:val="24"/>
          <w:szCs w:val="24"/>
        </w:rPr>
        <w:t>ικαίωμα υποβολής ένστασης του Αναδόχου επί Α.Π.Ε. και τα ΠΚΤΜΝΕ</w:t>
      </w:r>
    </w:p>
    <w:p w:rsidR="00B22795" w:rsidRPr="00F55134" w:rsidRDefault="00B22795" w:rsidP="00B22795">
      <w:pPr>
        <w:jc w:val="both"/>
        <w:rPr>
          <w:rFonts w:ascii="Times New Roman" w:hAnsi="Times New Roman" w:cs="Times New Roman"/>
          <w:sz w:val="24"/>
          <w:szCs w:val="24"/>
        </w:rPr>
      </w:pPr>
    </w:p>
    <w:p w:rsidR="0051271B" w:rsidRPr="00F55134" w:rsidRDefault="0051271B" w:rsidP="00B22795">
      <w:pPr>
        <w:jc w:val="both"/>
        <w:rPr>
          <w:rFonts w:ascii="Times New Roman" w:hAnsi="Times New Roman" w:cs="Times New Roman"/>
          <w:sz w:val="24"/>
          <w:szCs w:val="24"/>
        </w:rPr>
      </w:pPr>
      <w:r w:rsidRPr="00F55134">
        <w:rPr>
          <w:rFonts w:ascii="Times New Roman" w:hAnsi="Times New Roman" w:cs="Times New Roman"/>
          <w:sz w:val="24"/>
          <w:szCs w:val="24"/>
        </w:rPr>
        <w:t>Σύμφωνα με την παρ. 1</w:t>
      </w:r>
      <w:r w:rsidRPr="00F55134">
        <w:rPr>
          <w:rFonts w:ascii="Times New Roman" w:hAnsi="Times New Roman" w:cs="Times New Roman"/>
          <w:sz w:val="24"/>
          <w:szCs w:val="24"/>
          <w:vertAlign w:val="superscript"/>
        </w:rPr>
        <w:t>α</w:t>
      </w:r>
      <w:r w:rsidRPr="00F55134">
        <w:rPr>
          <w:rFonts w:ascii="Times New Roman" w:hAnsi="Times New Roman" w:cs="Times New Roman"/>
          <w:sz w:val="24"/>
          <w:szCs w:val="24"/>
        </w:rPr>
        <w:t xml:space="preserve">, Άρθρο 174 «Διοικητική επίλυση συμβατικών διαφορών¨, κατά των εκτελεστών πράξεων ή παραλείψεων της διευθύνουσας υπηρεσίας ή της Προϊσταμένης Αρχής ή του κυρίου του έργου, που προσβάλλουν για πρώτη φορά δικαίωμα του αναδόχου, </w:t>
      </w:r>
      <w:r w:rsidRPr="00F55134">
        <w:rPr>
          <w:rFonts w:ascii="Times New Roman" w:hAnsi="Times New Roman" w:cs="Times New Roman"/>
          <w:b/>
          <w:sz w:val="24"/>
          <w:szCs w:val="24"/>
        </w:rPr>
        <w:t>χωρεί ένσταση. Η ένσταση απευθύνεται στο κατά περίπτωση, σύμφωνα με τις κείμενες διατάξεις, αρμόδιο αποφαινόμενο όργανο</w:t>
      </w:r>
      <w:r w:rsidRPr="00F55134">
        <w:rPr>
          <w:rFonts w:ascii="Times New Roman" w:hAnsi="Times New Roman" w:cs="Times New Roman"/>
          <w:sz w:val="24"/>
          <w:szCs w:val="24"/>
        </w:rPr>
        <w:t>, και ασκείται είτε με επίδοση με δικαστικό επιμελητή είτε με ηλεκτρονική αποστολή, σύμφωνα με τα άρθρα 15, 19, 29 και 50 του ν. 4727/2020 (Α` 184), στη διευθύνουσα υπηρεσία ή την Προϊσταμένη Αρχή που εξέδωσε την προσβαλλόμενη πράξη ή στο αποφαινόμενο όργανο, μέσα σε ανατρεπτική προθεσμία δεκαπέντε (15) ημερών από την κοινοποίηση της πράξης ή τη συντέλεση της παράλειψης. Η παράλειψη της ως άνω επίδοσης ή ηλεκτρονικής αποστολής, καθιστά την ένσταση απαράδεκτη.</w:t>
      </w:r>
    </w:p>
    <w:p w:rsidR="00B22795" w:rsidRPr="00F55134" w:rsidRDefault="00B22795" w:rsidP="00B22795">
      <w:pPr>
        <w:jc w:val="both"/>
        <w:rPr>
          <w:rFonts w:ascii="Times New Roman" w:hAnsi="Times New Roman" w:cs="Times New Roman"/>
          <w:b/>
          <w:sz w:val="24"/>
          <w:szCs w:val="24"/>
        </w:rPr>
      </w:pPr>
      <w:r w:rsidRPr="00F55134">
        <w:rPr>
          <w:rFonts w:ascii="Times New Roman" w:hAnsi="Times New Roman" w:cs="Times New Roman"/>
          <w:b/>
          <w:sz w:val="24"/>
          <w:szCs w:val="24"/>
        </w:rPr>
        <w:t>Θεμελίωση δικαιώματος υποβολής ένστασης του Αναδόχου επί Α.Π.Ε. και τα ΠΚΤΜΝΕ</w:t>
      </w:r>
    </w:p>
    <w:p w:rsidR="00B22795" w:rsidRPr="00F55134" w:rsidRDefault="00B22795" w:rsidP="00B22795">
      <w:pPr>
        <w:jc w:val="both"/>
        <w:rPr>
          <w:rFonts w:ascii="Times New Roman" w:hAnsi="Times New Roman" w:cs="Times New Roman"/>
          <w:sz w:val="24"/>
          <w:szCs w:val="24"/>
        </w:rPr>
      </w:pPr>
      <w:r w:rsidRPr="00F55134">
        <w:rPr>
          <w:rFonts w:ascii="Times New Roman" w:hAnsi="Times New Roman" w:cs="Times New Roman"/>
          <w:sz w:val="24"/>
          <w:szCs w:val="24"/>
        </w:rPr>
        <w:lastRenderedPageBreak/>
        <w:t xml:space="preserve">Αφού οι Α.Π.Ε. και τα ΠΚΤΜΝΕ συνταχθούν από τη διευθύνουσα υπηρεσία, ο ανάδοχος δικαιούται να υποβάλει ένσταση στις εξής περιπτώσεις: </w:t>
      </w:r>
    </w:p>
    <w:p w:rsidR="00B22795" w:rsidRPr="00F55134" w:rsidRDefault="00B22795" w:rsidP="00B22795">
      <w:pPr>
        <w:pStyle w:val="a3"/>
        <w:numPr>
          <w:ilvl w:val="0"/>
          <w:numId w:val="1"/>
        </w:numPr>
        <w:jc w:val="both"/>
        <w:rPr>
          <w:rFonts w:ascii="Times New Roman" w:hAnsi="Times New Roman" w:cs="Times New Roman"/>
          <w:sz w:val="24"/>
          <w:szCs w:val="24"/>
        </w:rPr>
      </w:pPr>
      <w:r w:rsidRPr="00F55134">
        <w:rPr>
          <w:rFonts w:ascii="Times New Roman" w:hAnsi="Times New Roman" w:cs="Times New Roman"/>
          <w:sz w:val="24"/>
          <w:szCs w:val="24"/>
        </w:rPr>
        <w:t xml:space="preserve">στην περίπτωση που ο ανάδοχος αρνηθεί την υπογραφή (αφού του κοινοποιηθεί ο ΑΠΕ και τα ΠΚΤΜΝΕ, σύμφωνα με το άρθρο 143, περί κοινοποίησης στον ανάδοχο εκπροσώπησης) όπως και </w:t>
      </w:r>
    </w:p>
    <w:p w:rsidR="00B22795" w:rsidRPr="00F55134" w:rsidRDefault="00B22795" w:rsidP="00B22795">
      <w:pPr>
        <w:pStyle w:val="a3"/>
        <w:numPr>
          <w:ilvl w:val="0"/>
          <w:numId w:val="1"/>
        </w:numPr>
        <w:jc w:val="both"/>
        <w:rPr>
          <w:rFonts w:ascii="Times New Roman" w:hAnsi="Times New Roman" w:cs="Times New Roman"/>
          <w:sz w:val="24"/>
          <w:szCs w:val="24"/>
        </w:rPr>
      </w:pPr>
      <w:r w:rsidRPr="00F55134">
        <w:rPr>
          <w:rFonts w:ascii="Times New Roman" w:hAnsi="Times New Roman" w:cs="Times New Roman"/>
          <w:sz w:val="24"/>
          <w:szCs w:val="24"/>
        </w:rPr>
        <w:t>στην περίπτωση που υπέγραψε τα σχετικά έγγραφα με επιφύλαξη,.</w:t>
      </w:r>
    </w:p>
    <w:p w:rsidR="00B22795" w:rsidRPr="00F55134" w:rsidRDefault="00B22795" w:rsidP="00B22795">
      <w:pPr>
        <w:pStyle w:val="a3"/>
        <w:ind w:left="360"/>
        <w:jc w:val="both"/>
        <w:rPr>
          <w:rFonts w:ascii="Times New Roman" w:hAnsi="Times New Roman" w:cs="Times New Roman"/>
          <w:b/>
          <w:iCs/>
          <w:sz w:val="24"/>
          <w:szCs w:val="24"/>
        </w:rPr>
      </w:pPr>
    </w:p>
    <w:p w:rsidR="00B22795" w:rsidRPr="00F55134" w:rsidRDefault="00B22795" w:rsidP="00B22795">
      <w:pPr>
        <w:pStyle w:val="a3"/>
        <w:ind w:left="360"/>
        <w:jc w:val="both"/>
        <w:rPr>
          <w:rFonts w:ascii="Times New Roman" w:hAnsi="Times New Roman" w:cs="Times New Roman"/>
          <w:b/>
          <w:iCs/>
          <w:sz w:val="24"/>
          <w:szCs w:val="24"/>
        </w:rPr>
      </w:pPr>
      <w:r w:rsidRPr="00F55134">
        <w:rPr>
          <w:rFonts w:ascii="Times New Roman" w:hAnsi="Times New Roman" w:cs="Times New Roman"/>
          <w:b/>
          <w:iCs/>
          <w:sz w:val="24"/>
          <w:szCs w:val="24"/>
        </w:rPr>
        <w:t xml:space="preserve">Σε περίπτωση άσκησης ένστασης:  </w:t>
      </w:r>
    </w:p>
    <w:p w:rsidR="00B22795" w:rsidRPr="00F55134" w:rsidRDefault="00B22795" w:rsidP="00B22795">
      <w:pPr>
        <w:pStyle w:val="a3"/>
        <w:numPr>
          <w:ilvl w:val="0"/>
          <w:numId w:val="1"/>
        </w:numPr>
        <w:jc w:val="both"/>
        <w:rPr>
          <w:rFonts w:ascii="Times New Roman" w:hAnsi="Times New Roman" w:cs="Times New Roman"/>
          <w:iCs/>
          <w:sz w:val="24"/>
          <w:szCs w:val="24"/>
        </w:rPr>
      </w:pPr>
      <w:r w:rsidRPr="00F55134">
        <w:rPr>
          <w:rFonts w:ascii="Times New Roman" w:hAnsi="Times New Roman" w:cs="Times New Roman"/>
          <w:iCs/>
          <w:sz w:val="24"/>
          <w:szCs w:val="24"/>
        </w:rPr>
        <w:t xml:space="preserve">Σε περίπτωση άσκησης ένστασης η Προϊσταμένη Αρχή οφείλει να αναμείνει την απόφαση επ’ αυτής πριν από την έγκριση του Α.Π.Ε.. </w:t>
      </w:r>
    </w:p>
    <w:p w:rsidR="0051271B" w:rsidRPr="00F55134" w:rsidRDefault="00B22795" w:rsidP="0051271B">
      <w:pPr>
        <w:pStyle w:val="a3"/>
        <w:numPr>
          <w:ilvl w:val="0"/>
          <w:numId w:val="1"/>
        </w:numPr>
        <w:jc w:val="both"/>
        <w:rPr>
          <w:rFonts w:ascii="Times New Roman" w:hAnsi="Times New Roman" w:cs="Times New Roman"/>
          <w:b/>
          <w:iCs/>
          <w:sz w:val="24"/>
          <w:szCs w:val="24"/>
        </w:rPr>
      </w:pPr>
      <w:r w:rsidRPr="00F55134">
        <w:rPr>
          <w:rFonts w:ascii="Times New Roman" w:hAnsi="Times New Roman" w:cs="Times New Roman"/>
          <w:iCs/>
          <w:sz w:val="24"/>
          <w:szCs w:val="24"/>
        </w:rPr>
        <w:t xml:space="preserve">Μετά από την έγκριση του Α.Π.Ε., ο ανάδοχος είναι υποχρεωμένος να εκτελέσει τις σχετικές εργασίες </w:t>
      </w:r>
      <w:r w:rsidRPr="00F55134">
        <w:rPr>
          <w:rFonts w:ascii="Times New Roman" w:hAnsi="Times New Roman" w:cs="Times New Roman"/>
          <w:b/>
          <w:iCs/>
          <w:sz w:val="24"/>
          <w:szCs w:val="24"/>
        </w:rPr>
        <w:t>χωρίς αυτό να θίγει τα δικαιώματά του για επίλυση της διαφοράς.</w:t>
      </w:r>
    </w:p>
    <w:p w:rsidR="0051271B" w:rsidRPr="00F55134" w:rsidRDefault="0051271B" w:rsidP="0051271B">
      <w:pPr>
        <w:jc w:val="both"/>
        <w:rPr>
          <w:rFonts w:ascii="Times New Roman" w:hAnsi="Times New Roman" w:cs="Times New Roman"/>
          <w:b/>
          <w:sz w:val="24"/>
          <w:szCs w:val="24"/>
        </w:rPr>
      </w:pPr>
      <w:r w:rsidRPr="00F55134">
        <w:rPr>
          <w:rFonts w:ascii="Times New Roman" w:hAnsi="Times New Roman" w:cs="Times New Roman"/>
          <w:b/>
          <w:sz w:val="24"/>
          <w:szCs w:val="24"/>
        </w:rPr>
        <w:t>Υποβολή τελικής επιμέτρησης</w:t>
      </w:r>
    </w:p>
    <w:p w:rsidR="0051271B" w:rsidRPr="00F55134" w:rsidRDefault="0051271B" w:rsidP="0051271B">
      <w:pPr>
        <w:pStyle w:val="a3"/>
        <w:numPr>
          <w:ilvl w:val="0"/>
          <w:numId w:val="1"/>
        </w:numPr>
        <w:jc w:val="both"/>
        <w:rPr>
          <w:rFonts w:ascii="Times New Roman" w:hAnsi="Times New Roman" w:cs="Times New Roman"/>
          <w:sz w:val="24"/>
          <w:szCs w:val="24"/>
        </w:rPr>
      </w:pPr>
      <w:r w:rsidRPr="00F55134">
        <w:rPr>
          <w:rFonts w:ascii="Times New Roman" w:hAnsi="Times New Roman" w:cs="Times New Roman"/>
          <w:sz w:val="24"/>
          <w:szCs w:val="24"/>
        </w:rPr>
        <w:t>Σύμφωνα με την παρ. 9 Άρθρου 151 Ν. 4412/2016 (« Επιμετρήσεις¨),  Δύο (2) μήνες το αργότερο μετά τη βεβαιωμένη περάτωση του έργου, ο ανάδοχος είναι υποχρεωμένος να υποβάλει στη διευθύνουσα υπηρεσία την «τελική επιμέτρηση», δηλαδή τελικό συνοπτικό πίνακα που ανακεφαλαιώνει τις ποσότητες όλων των τμηματικών επιμετρήσεων, …..</w:t>
      </w:r>
    </w:p>
    <w:p w:rsidR="0051271B" w:rsidRPr="00F55134" w:rsidRDefault="0051271B" w:rsidP="0051271B">
      <w:pPr>
        <w:pStyle w:val="a3"/>
        <w:numPr>
          <w:ilvl w:val="0"/>
          <w:numId w:val="1"/>
        </w:numPr>
        <w:jc w:val="both"/>
        <w:rPr>
          <w:rFonts w:ascii="Times New Roman" w:hAnsi="Times New Roman" w:cs="Times New Roman"/>
          <w:sz w:val="24"/>
          <w:szCs w:val="24"/>
        </w:rPr>
      </w:pPr>
      <w:r w:rsidRPr="00F55134">
        <w:rPr>
          <w:rFonts w:ascii="Times New Roman" w:hAnsi="Times New Roman" w:cs="Times New Roman"/>
          <w:sz w:val="24"/>
          <w:szCs w:val="24"/>
        </w:rPr>
        <w:t xml:space="preserve"> Στην τελική επιμέτρηση εμφανίζονται διακριτά </w:t>
      </w:r>
      <w:r w:rsidRPr="00F55134">
        <w:rPr>
          <w:rFonts w:ascii="Times New Roman" w:hAnsi="Times New Roman" w:cs="Times New Roman"/>
          <w:b/>
          <w:sz w:val="24"/>
          <w:szCs w:val="24"/>
        </w:rPr>
        <w:t>οι συμβατικές εργασίες, οι οποίες εκτελέστηκαν με βάση τη σύμβαση ή με εγκεκριμένους Ανακεφαλαιωτικούς Πίνακες</w:t>
      </w:r>
      <w:r w:rsidRPr="00F55134">
        <w:rPr>
          <w:rFonts w:ascii="Times New Roman" w:hAnsi="Times New Roman" w:cs="Times New Roman"/>
          <w:sz w:val="24"/>
          <w:szCs w:val="24"/>
        </w:rPr>
        <w:t xml:space="preserve"> Εργασιών και οι </w:t>
      </w:r>
      <w:proofErr w:type="spellStart"/>
      <w:r w:rsidRPr="00F55134">
        <w:rPr>
          <w:rFonts w:ascii="Times New Roman" w:hAnsi="Times New Roman" w:cs="Times New Roman"/>
          <w:sz w:val="24"/>
          <w:szCs w:val="24"/>
        </w:rPr>
        <w:t>εξωσυμβατικές</w:t>
      </w:r>
      <w:proofErr w:type="spellEnd"/>
      <w:r w:rsidRPr="00F55134">
        <w:rPr>
          <w:rFonts w:ascii="Times New Roman" w:hAnsi="Times New Roman" w:cs="Times New Roman"/>
          <w:sz w:val="24"/>
          <w:szCs w:val="24"/>
        </w:rPr>
        <w:t>, έστω και αν εκκρεμεί η διαδικασία τακτοποίησης τους. Η τελική επιμέτρηση ελέγχεται από τον επιβλέποντα, ο οποίος υποβάλλει εντός προθεσμίας δύο (2) μηνών προς τη διευθύνουσα υπηρεσία σχετική έκθεση. Η διευθύνουσα υπηρεσία υποχρεούται, εντός δύο (2) μηνών από την υποβολή της έκθεσης του προηγούμενου εδαφίου, να εκδώσει απόφαση περί της έγκρισης αυτής.</w:t>
      </w:r>
    </w:p>
    <w:p w:rsidR="00880252" w:rsidRPr="00F55134" w:rsidRDefault="00880252" w:rsidP="00880252">
      <w:pPr>
        <w:jc w:val="both"/>
        <w:rPr>
          <w:rFonts w:ascii="Times New Roman" w:hAnsi="Times New Roman" w:cs="Times New Roman"/>
          <w:sz w:val="24"/>
          <w:szCs w:val="24"/>
        </w:rPr>
      </w:pPr>
    </w:p>
    <w:p w:rsidR="00880252" w:rsidRPr="00F55134" w:rsidRDefault="00880252" w:rsidP="00880252">
      <w:pPr>
        <w:jc w:val="both"/>
        <w:rPr>
          <w:rFonts w:ascii="Times New Roman" w:hAnsi="Times New Roman" w:cs="Times New Roman"/>
          <w:sz w:val="24"/>
          <w:szCs w:val="24"/>
        </w:rPr>
      </w:pPr>
      <w:r w:rsidRPr="00F55134">
        <w:rPr>
          <w:rFonts w:ascii="Times New Roman" w:hAnsi="Times New Roman" w:cs="Times New Roman"/>
          <w:sz w:val="24"/>
          <w:szCs w:val="24"/>
        </w:rPr>
        <w:t xml:space="preserve">Περισσότερα περί της Διαδικασίας έγκρισης Α.Π.Ε. και τα ΠΚΤΜΝΕ στο </w:t>
      </w:r>
      <w:r w:rsidRPr="00F55134">
        <w:rPr>
          <w:rFonts w:ascii="Times New Roman" w:hAnsi="Times New Roman" w:cs="Times New Roman"/>
          <w:sz w:val="24"/>
          <w:szCs w:val="24"/>
          <w:lang w:val="en-US"/>
        </w:rPr>
        <w:t>site</w:t>
      </w:r>
      <w:r w:rsidRPr="00F55134">
        <w:rPr>
          <w:rFonts w:ascii="Times New Roman" w:hAnsi="Times New Roman" w:cs="Times New Roman"/>
          <w:sz w:val="24"/>
          <w:szCs w:val="24"/>
        </w:rPr>
        <w:t xml:space="preserve">: </w:t>
      </w:r>
      <w:proofErr w:type="spellStart"/>
      <w:r w:rsidRPr="00F55134">
        <w:rPr>
          <w:rFonts w:ascii="Times New Roman" w:hAnsi="Times New Roman" w:cs="Times New Roman"/>
          <w:b/>
          <w:i/>
          <w:color w:val="FF0000"/>
          <w:sz w:val="24"/>
          <w:szCs w:val="24"/>
          <w:lang w:val="en-US"/>
        </w:rPr>
        <w:t>dimosies</w:t>
      </w:r>
      <w:proofErr w:type="spellEnd"/>
      <w:r w:rsidRPr="00F55134">
        <w:rPr>
          <w:rFonts w:ascii="Times New Roman" w:hAnsi="Times New Roman" w:cs="Times New Roman"/>
          <w:b/>
          <w:i/>
          <w:color w:val="FF0000"/>
          <w:sz w:val="24"/>
          <w:szCs w:val="24"/>
        </w:rPr>
        <w:t>-</w:t>
      </w:r>
      <w:proofErr w:type="spellStart"/>
      <w:r w:rsidRPr="00F55134">
        <w:rPr>
          <w:rFonts w:ascii="Times New Roman" w:hAnsi="Times New Roman" w:cs="Times New Roman"/>
          <w:b/>
          <w:i/>
          <w:color w:val="FF0000"/>
          <w:sz w:val="24"/>
          <w:szCs w:val="24"/>
          <w:lang w:val="en-US"/>
        </w:rPr>
        <w:t>symvaseis</w:t>
      </w:r>
      <w:proofErr w:type="spellEnd"/>
      <w:r w:rsidRPr="00F55134">
        <w:rPr>
          <w:rFonts w:ascii="Times New Roman" w:hAnsi="Times New Roman" w:cs="Times New Roman"/>
          <w:b/>
          <w:i/>
          <w:color w:val="FF0000"/>
          <w:sz w:val="24"/>
          <w:szCs w:val="24"/>
        </w:rPr>
        <w:t>.</w:t>
      </w:r>
      <w:r w:rsidRPr="00F55134">
        <w:rPr>
          <w:rFonts w:ascii="Times New Roman" w:hAnsi="Times New Roman" w:cs="Times New Roman"/>
          <w:b/>
          <w:i/>
          <w:color w:val="FF0000"/>
          <w:sz w:val="24"/>
          <w:szCs w:val="24"/>
          <w:lang w:val="en-US"/>
        </w:rPr>
        <w:t>gr</w:t>
      </w:r>
      <w:r w:rsidRPr="00F55134">
        <w:rPr>
          <w:rFonts w:ascii="Times New Roman" w:hAnsi="Times New Roman" w:cs="Times New Roman"/>
          <w:sz w:val="24"/>
          <w:szCs w:val="24"/>
        </w:rPr>
        <w:t xml:space="preserve">, στα </w:t>
      </w:r>
      <w:r w:rsidRPr="00F55134">
        <w:rPr>
          <w:rFonts w:ascii="Times New Roman" w:hAnsi="Times New Roman" w:cs="Times New Roman"/>
          <w:sz w:val="24"/>
          <w:szCs w:val="24"/>
          <w:lang w:val="en-US"/>
        </w:rPr>
        <w:t>links</w:t>
      </w:r>
      <w:r w:rsidRPr="00F55134">
        <w:rPr>
          <w:rFonts w:ascii="Times New Roman" w:hAnsi="Times New Roman" w:cs="Times New Roman"/>
          <w:sz w:val="24"/>
          <w:szCs w:val="24"/>
        </w:rPr>
        <w:t xml:space="preserve">: </w:t>
      </w:r>
    </w:p>
    <w:p w:rsidR="00880252" w:rsidRPr="00F55134" w:rsidRDefault="00F55134" w:rsidP="00880252">
      <w:pPr>
        <w:pStyle w:val="a3"/>
        <w:numPr>
          <w:ilvl w:val="0"/>
          <w:numId w:val="1"/>
        </w:numPr>
        <w:jc w:val="both"/>
        <w:rPr>
          <w:rFonts w:ascii="Times New Roman" w:hAnsi="Times New Roman" w:cs="Times New Roman"/>
          <w:sz w:val="24"/>
          <w:szCs w:val="24"/>
        </w:rPr>
      </w:pPr>
      <w:hyperlink r:id="rId5" w:history="1">
        <w:r w:rsidR="00880252" w:rsidRPr="00F55134">
          <w:rPr>
            <w:rStyle w:val="-"/>
            <w:rFonts w:ascii="Times New Roman" w:hAnsi="Times New Roman" w:cs="Times New Roman"/>
            <w:sz w:val="24"/>
            <w:szCs w:val="24"/>
          </w:rPr>
          <w:t>https://dimosies-symvaseis.gr/index.php/ektelesi-epivlepsi-ergon/632-kefalaio-ia-ape-kai-pktmne/th-1-anakefalaiotikos-pinakas-ergasion-ape/th-1-2-simeia-prosoxis-stous-a-p-e</w:t>
        </w:r>
      </w:hyperlink>
    </w:p>
    <w:p w:rsidR="00880252" w:rsidRPr="00F55134" w:rsidRDefault="00880252" w:rsidP="00880252">
      <w:pPr>
        <w:pStyle w:val="a3"/>
        <w:ind w:left="360"/>
        <w:jc w:val="both"/>
        <w:rPr>
          <w:rFonts w:ascii="Times New Roman" w:hAnsi="Times New Roman" w:cs="Times New Roman"/>
          <w:sz w:val="24"/>
          <w:szCs w:val="24"/>
        </w:rPr>
      </w:pPr>
      <w:r w:rsidRPr="00F55134">
        <w:rPr>
          <w:rFonts w:ascii="Times New Roman" w:hAnsi="Times New Roman" w:cs="Times New Roman"/>
          <w:sz w:val="24"/>
          <w:szCs w:val="24"/>
        </w:rPr>
        <w:t>ΚΑΙ</w:t>
      </w:r>
    </w:p>
    <w:p w:rsidR="00880252" w:rsidRPr="00F55134" w:rsidRDefault="00F55134" w:rsidP="00880252">
      <w:pPr>
        <w:pStyle w:val="a3"/>
        <w:numPr>
          <w:ilvl w:val="0"/>
          <w:numId w:val="1"/>
        </w:numPr>
        <w:jc w:val="both"/>
        <w:rPr>
          <w:rFonts w:ascii="Times New Roman" w:hAnsi="Times New Roman" w:cs="Times New Roman"/>
          <w:sz w:val="24"/>
          <w:szCs w:val="24"/>
        </w:rPr>
      </w:pPr>
      <w:hyperlink r:id="rId6" w:history="1">
        <w:r w:rsidR="00880252" w:rsidRPr="00F55134">
          <w:rPr>
            <w:rStyle w:val="-"/>
            <w:rFonts w:ascii="Times New Roman" w:hAnsi="Times New Roman" w:cs="Times New Roman"/>
            <w:sz w:val="24"/>
            <w:szCs w:val="24"/>
          </w:rPr>
          <w:t>https://dimosies-symvaseis.gr/index.php/ektelesi-epivlepsi-ergon/633-kefalaio-ia-ape-kai-pktmne/th-1-anakefalaiotikos-pinakas-ergasion-ape/th-1-3-nomologia-peri-egkrisis-a-p-e</w:t>
        </w:r>
      </w:hyperlink>
    </w:p>
    <w:p w:rsidR="00880252" w:rsidRPr="00F55134" w:rsidRDefault="00880252" w:rsidP="00880252">
      <w:pPr>
        <w:jc w:val="both"/>
        <w:rPr>
          <w:rFonts w:ascii="Times New Roman" w:hAnsi="Times New Roman" w:cs="Times New Roman"/>
          <w:sz w:val="24"/>
          <w:szCs w:val="24"/>
        </w:rPr>
      </w:pPr>
      <w:r w:rsidRPr="00F55134">
        <w:rPr>
          <w:rFonts w:ascii="Times New Roman" w:hAnsi="Times New Roman" w:cs="Times New Roman"/>
          <w:sz w:val="24"/>
          <w:szCs w:val="24"/>
        </w:rPr>
        <w:t>Συνεπώς</w:t>
      </w:r>
      <w:r w:rsidRPr="00F55134">
        <w:rPr>
          <w:rFonts w:ascii="Times New Roman" w:hAnsi="Times New Roman" w:cs="Times New Roman"/>
          <w:sz w:val="24"/>
          <w:szCs w:val="24"/>
          <w:lang w:val="en-US"/>
        </w:rPr>
        <w:t xml:space="preserve">: </w:t>
      </w:r>
    </w:p>
    <w:p w:rsidR="00880252" w:rsidRPr="00F55134" w:rsidRDefault="00880252" w:rsidP="00880252">
      <w:pPr>
        <w:pStyle w:val="a3"/>
        <w:numPr>
          <w:ilvl w:val="0"/>
          <w:numId w:val="3"/>
        </w:numPr>
        <w:jc w:val="both"/>
        <w:rPr>
          <w:rFonts w:ascii="Times New Roman" w:hAnsi="Times New Roman" w:cs="Times New Roman"/>
          <w:sz w:val="24"/>
          <w:szCs w:val="24"/>
        </w:rPr>
      </w:pPr>
      <w:r w:rsidRPr="00F55134">
        <w:rPr>
          <w:rFonts w:ascii="Times New Roman" w:hAnsi="Times New Roman" w:cs="Times New Roman"/>
          <w:sz w:val="24"/>
          <w:szCs w:val="24"/>
        </w:rPr>
        <w:t>Οι ορθές ποσότητες αναφέρονται στην</w:t>
      </w:r>
      <w:r w:rsidRPr="00F55134">
        <w:rPr>
          <w:sz w:val="24"/>
          <w:szCs w:val="24"/>
        </w:rPr>
        <w:t xml:space="preserve"> </w:t>
      </w:r>
      <w:r w:rsidRPr="00F55134">
        <w:rPr>
          <w:rFonts w:ascii="Times New Roman" w:hAnsi="Times New Roman" w:cs="Times New Roman"/>
          <w:sz w:val="24"/>
          <w:szCs w:val="24"/>
        </w:rPr>
        <w:t>τελική επιμέτρηση», δηλαδή τελικό συνοπτικό πίνακα που ανακεφαλαιώνει τις ποσότητες όλων των τμηματικών επιμετρήσεων,</w:t>
      </w:r>
    </w:p>
    <w:p w:rsidR="00880252" w:rsidRPr="00F55134" w:rsidRDefault="00880252" w:rsidP="00880252">
      <w:pPr>
        <w:pStyle w:val="a3"/>
        <w:numPr>
          <w:ilvl w:val="0"/>
          <w:numId w:val="3"/>
        </w:numPr>
        <w:rPr>
          <w:rFonts w:ascii="Times New Roman" w:hAnsi="Times New Roman" w:cs="Times New Roman"/>
          <w:sz w:val="24"/>
          <w:szCs w:val="24"/>
        </w:rPr>
      </w:pPr>
      <w:r w:rsidRPr="00F55134">
        <w:rPr>
          <w:rFonts w:ascii="Times New Roman" w:hAnsi="Times New Roman" w:cs="Times New Roman"/>
          <w:sz w:val="24"/>
          <w:szCs w:val="24"/>
        </w:rPr>
        <w:t>Υποβάλλετε ένσταση σύμφωνα με την παρ. 1α, Άρθρο 174</w:t>
      </w:r>
    </w:p>
    <w:p w:rsidR="00880252" w:rsidRPr="00F55134" w:rsidRDefault="00880252" w:rsidP="005E319D">
      <w:pPr>
        <w:pStyle w:val="a3"/>
        <w:numPr>
          <w:ilvl w:val="0"/>
          <w:numId w:val="3"/>
        </w:numPr>
        <w:jc w:val="both"/>
        <w:rPr>
          <w:rFonts w:ascii="Times New Roman" w:hAnsi="Times New Roman" w:cs="Times New Roman"/>
          <w:i/>
          <w:sz w:val="24"/>
          <w:szCs w:val="24"/>
        </w:rPr>
      </w:pPr>
      <w:r w:rsidRPr="00F55134">
        <w:rPr>
          <w:rFonts w:ascii="Times New Roman" w:hAnsi="Times New Roman" w:cs="Times New Roman"/>
          <w:sz w:val="24"/>
          <w:szCs w:val="24"/>
        </w:rPr>
        <w:lastRenderedPageBreak/>
        <w:t>Ακολουθείτε αναγκαστικ</w:t>
      </w:r>
      <w:r w:rsidR="005E319D" w:rsidRPr="00F55134">
        <w:rPr>
          <w:rFonts w:ascii="Times New Roman" w:hAnsi="Times New Roman" w:cs="Times New Roman"/>
          <w:sz w:val="24"/>
          <w:szCs w:val="24"/>
        </w:rPr>
        <w:t>ά</w:t>
      </w:r>
      <w:r w:rsidRPr="00F55134">
        <w:rPr>
          <w:rFonts w:ascii="Times New Roman" w:hAnsi="Times New Roman" w:cs="Times New Roman"/>
          <w:sz w:val="24"/>
          <w:szCs w:val="24"/>
        </w:rPr>
        <w:t xml:space="preserve"> της διαδικασία  του Άρθρου 175 («Δικαστική επίλυση διαφορών»)</w:t>
      </w:r>
      <w:r w:rsidR="005E319D" w:rsidRPr="00F55134">
        <w:rPr>
          <w:rFonts w:ascii="Times New Roman" w:hAnsi="Times New Roman" w:cs="Times New Roman"/>
          <w:sz w:val="24"/>
          <w:szCs w:val="24"/>
        </w:rPr>
        <w:t xml:space="preserve">. Με το άρθρο 1 παρ. 2 περ. </w:t>
      </w:r>
      <w:proofErr w:type="spellStart"/>
      <w:r w:rsidR="005E319D" w:rsidRPr="00F55134">
        <w:rPr>
          <w:rFonts w:ascii="Times New Roman" w:hAnsi="Times New Roman" w:cs="Times New Roman"/>
          <w:sz w:val="24"/>
          <w:szCs w:val="24"/>
        </w:rPr>
        <w:t>ι`του</w:t>
      </w:r>
      <w:proofErr w:type="spellEnd"/>
      <w:r w:rsidR="005E319D" w:rsidRPr="00F55134">
        <w:rPr>
          <w:rFonts w:ascii="Times New Roman" w:hAnsi="Times New Roman" w:cs="Times New Roman"/>
          <w:sz w:val="24"/>
          <w:szCs w:val="24"/>
        </w:rPr>
        <w:t xml:space="preserve"> ν. 1406/1983 (Α`182) υπήχθησαν στα τακτικά διοικητικά δικαστήρια οι αναφυόμενες κατά την εφαρμογή της νομοθεσίας περί διοικητικών συμβάσεων διοικητικές διαφορές ουσίας. Τέτοιες είναι οι διαφορές οι οποίες έχουν ως αιτία τη σύμβαση και ανάγονται ιδίως στην κατάρτιση, το κύρος, την ερμηνεία και εκτέλεση αυτής, καθώς και σε οποιαδήποτε παρεπόμενη αξίωση ή υποχρέωση των συμβαλλομένων. </w:t>
      </w:r>
      <w:r w:rsidR="005E319D" w:rsidRPr="00F55134">
        <w:rPr>
          <w:rFonts w:ascii="Times New Roman" w:hAnsi="Times New Roman" w:cs="Times New Roman"/>
          <w:i/>
          <w:sz w:val="24"/>
          <w:szCs w:val="24"/>
        </w:rPr>
        <w:t>(52/2024 ΔΕΦ ΘΕΣΣΑΛΟΝΙΚΗΣ (ΑΚΥΡ))</w:t>
      </w:r>
    </w:p>
    <w:sectPr w:rsidR="00880252" w:rsidRPr="00F551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4286"/>
    <w:multiLevelType w:val="multilevel"/>
    <w:tmpl w:val="302C4286"/>
    <w:lvl w:ilvl="0">
      <w:start w:val="1"/>
      <w:numFmt w:val="bullet"/>
      <w:lvlText w:val="è"/>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13B2714"/>
    <w:multiLevelType w:val="hybridMultilevel"/>
    <w:tmpl w:val="BA94744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82E617F"/>
    <w:multiLevelType w:val="hybridMultilevel"/>
    <w:tmpl w:val="3984D97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95"/>
    <w:rsid w:val="0051271B"/>
    <w:rsid w:val="005E319D"/>
    <w:rsid w:val="00880252"/>
    <w:rsid w:val="009E26D6"/>
    <w:rsid w:val="00B22795"/>
    <w:rsid w:val="00F551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54C0"/>
  <w15:chartTrackingRefBased/>
  <w15:docId w15:val="{4FD9561F-9F35-403A-98BD-3FBC3446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B22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uiPriority w:val="9"/>
    <w:qFormat/>
    <w:rsid w:val="00B22795"/>
    <w:pPr>
      <w:spacing w:before="120" w:after="120" w:line="360" w:lineRule="auto"/>
      <w:ind w:left="432" w:hanging="432"/>
      <w:jc w:val="both"/>
      <w:outlineLvl w:val="2"/>
    </w:pPr>
    <w:rPr>
      <w:rFonts w:ascii="Times New Roman" w:eastAsia="Times New Roman" w:hAnsi="Times New Roman" w:cs="Times New Roman"/>
      <w:b/>
      <w:bCs/>
      <w:color w:val="auto"/>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B22795"/>
    <w:rPr>
      <w:rFonts w:ascii="Times New Roman" w:eastAsia="Times New Roman" w:hAnsi="Times New Roman" w:cs="Times New Roman"/>
      <w:b/>
      <w:bCs/>
      <w:sz w:val="24"/>
      <w:szCs w:val="24"/>
      <w:lang w:val="x-none"/>
    </w:rPr>
  </w:style>
  <w:style w:type="paragraph" w:styleId="a3">
    <w:name w:val="List Paragraph"/>
    <w:basedOn w:val="a"/>
    <w:uiPriority w:val="34"/>
    <w:qFormat/>
    <w:rsid w:val="00B22795"/>
    <w:pPr>
      <w:ind w:left="720"/>
      <w:contextualSpacing/>
    </w:pPr>
  </w:style>
  <w:style w:type="paragraph" w:customStyle="1" w:styleId="numbered2">
    <w:name w:val="numbered2"/>
    <w:basedOn w:val="a"/>
    <w:qFormat/>
    <w:rsid w:val="00B22795"/>
    <w:pPr>
      <w:tabs>
        <w:tab w:val="left" w:pos="1134"/>
      </w:tabs>
      <w:overflowPunct w:val="0"/>
      <w:autoSpaceDE w:val="0"/>
      <w:autoSpaceDN w:val="0"/>
      <w:adjustRightInd w:val="0"/>
      <w:spacing w:before="60" w:after="0" w:line="240" w:lineRule="auto"/>
      <w:ind w:left="1134" w:hanging="567"/>
      <w:jc w:val="both"/>
      <w:textAlignment w:val="baseline"/>
    </w:pPr>
    <w:rPr>
      <w:rFonts w:ascii="Arial" w:eastAsia="Times New Roman" w:hAnsi="Arial" w:cs="Arial"/>
      <w:sz w:val="19"/>
      <w:szCs w:val="20"/>
    </w:rPr>
  </w:style>
  <w:style w:type="character" w:customStyle="1" w:styleId="2Char">
    <w:name w:val="Επικεφαλίδα 2 Char"/>
    <w:basedOn w:val="a0"/>
    <w:link w:val="2"/>
    <w:uiPriority w:val="9"/>
    <w:semiHidden/>
    <w:rsid w:val="00B22795"/>
    <w:rPr>
      <w:rFonts w:asciiTheme="majorHAnsi" w:eastAsiaTheme="majorEastAsia" w:hAnsiTheme="majorHAnsi" w:cstheme="majorBidi"/>
      <w:color w:val="2E74B5" w:themeColor="accent1" w:themeShade="BF"/>
      <w:sz w:val="26"/>
      <w:szCs w:val="26"/>
    </w:rPr>
  </w:style>
  <w:style w:type="character" w:styleId="-">
    <w:name w:val="Hyperlink"/>
    <w:basedOn w:val="a0"/>
    <w:uiPriority w:val="99"/>
    <w:unhideWhenUsed/>
    <w:rsid w:val="00880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ies-symvaseis.gr/index.php/ektelesi-epivlepsi-ergon/633-kefalaio-ia-ape-kai-pktmne/th-1-anakefalaiotikos-pinakas-ergasion-ape/th-1-3-nomologia-peri-egkrisis-a-p-e" TargetMode="External"/><Relationship Id="rId5" Type="http://schemas.openxmlformats.org/officeDocument/2006/relationships/hyperlink" Target="https://dimosies-symvaseis.gr/index.php/ektelesi-epivlepsi-ergon/632-kefalaio-ia-ape-kai-pktmne/th-1-anakefalaiotikos-pinakas-ergasion-ape/th-1-2-simeia-prosoxis-stous-a-p-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6649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2025-03-20T16:11:00Z</dcterms:created>
  <dcterms:modified xsi:type="dcterms:W3CDTF">2025-03-20T16:11:00Z</dcterms:modified>
</cp:coreProperties>
</file>