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DD111" w14:textId="7A05BAED" w:rsidR="009764FE" w:rsidRPr="009764FE" w:rsidRDefault="009764FE" w:rsidP="009764FE">
      <w:pPr>
        <w:jc w:val="both"/>
        <w:rPr>
          <w:rFonts w:ascii="Times New Roman" w:eastAsia="SimSun" w:hAnsi="Times New Roman" w:cs="Times New Roman"/>
          <w:b/>
          <w:bCs/>
          <w:sz w:val="24"/>
          <w:szCs w:val="24"/>
          <w:lang w:eastAsia="zh-CN"/>
        </w:rPr>
      </w:pPr>
      <w:bookmarkStart w:id="0" w:name="_Hlk149243719"/>
      <w:r w:rsidRPr="009764FE">
        <w:rPr>
          <w:rFonts w:ascii="Times New Roman" w:eastAsia="SimSun" w:hAnsi="Times New Roman" w:cs="Times New Roman"/>
          <w:b/>
          <w:bCs/>
          <w:sz w:val="24"/>
          <w:szCs w:val="24"/>
          <w:lang w:eastAsia="zh-CN"/>
        </w:rPr>
        <w:t xml:space="preserve">ΘΕΜΑ : </w:t>
      </w:r>
      <w:r w:rsidRPr="009764FE">
        <w:rPr>
          <w:rFonts w:ascii="Times New Roman" w:eastAsia="SimSun" w:hAnsi="Times New Roman" w:cs="Times New Roman"/>
          <w:sz w:val="24"/>
          <w:szCs w:val="24"/>
          <w:lang w:eastAsia="zh-CN"/>
        </w:rPr>
        <w:t>Ερωτήματα περί Λόγων αποκλεισμού</w:t>
      </w:r>
    </w:p>
    <w:p w14:paraId="0A3A618E" w14:textId="1C510C0A" w:rsidR="009764FE" w:rsidRPr="009764FE" w:rsidRDefault="009764FE" w:rsidP="009764FE">
      <w:pPr>
        <w:jc w:val="both"/>
        <w:rPr>
          <w:rFonts w:ascii="Times New Roman" w:eastAsia="SimSun" w:hAnsi="Times New Roman" w:cs="Times New Roman"/>
          <w:sz w:val="24"/>
          <w:szCs w:val="24"/>
          <w:lang w:eastAsia="zh-CN"/>
        </w:rPr>
      </w:pPr>
      <w:proofErr w:type="spellStart"/>
      <w:r w:rsidRPr="009764FE">
        <w:rPr>
          <w:rFonts w:ascii="Times New Roman" w:eastAsia="SimSun" w:hAnsi="Times New Roman" w:cs="Times New Roman"/>
          <w:sz w:val="24"/>
          <w:szCs w:val="24"/>
          <w:lang w:eastAsia="zh-CN"/>
        </w:rPr>
        <w:t>Ημ</w:t>
      </w:r>
      <w:proofErr w:type="spellEnd"/>
      <w:r w:rsidRPr="009764FE">
        <w:rPr>
          <w:rFonts w:ascii="Times New Roman" w:eastAsia="SimSun" w:hAnsi="Times New Roman" w:cs="Times New Roman"/>
          <w:sz w:val="24"/>
          <w:szCs w:val="24"/>
          <w:lang w:eastAsia="zh-CN"/>
        </w:rPr>
        <w:t>/</w:t>
      </w:r>
      <w:proofErr w:type="spellStart"/>
      <w:r w:rsidRPr="009764FE">
        <w:rPr>
          <w:rFonts w:ascii="Times New Roman" w:eastAsia="SimSun" w:hAnsi="Times New Roman" w:cs="Times New Roman"/>
          <w:sz w:val="24"/>
          <w:szCs w:val="24"/>
          <w:lang w:eastAsia="zh-CN"/>
        </w:rPr>
        <w:t>νία</w:t>
      </w:r>
      <w:proofErr w:type="spellEnd"/>
      <w:r w:rsidRPr="009764FE">
        <w:rPr>
          <w:rFonts w:ascii="Times New Roman" w:eastAsia="SimSun" w:hAnsi="Times New Roman" w:cs="Times New Roman"/>
          <w:sz w:val="24"/>
          <w:szCs w:val="24"/>
          <w:lang w:eastAsia="zh-CN"/>
        </w:rPr>
        <w:t xml:space="preserve"> υποβολής: </w:t>
      </w:r>
      <w:r w:rsidRPr="009764FE">
        <w:rPr>
          <w:rFonts w:ascii="Times New Roman" w:eastAsia="SimSun" w:hAnsi="Times New Roman" w:cs="Times New Roman"/>
          <w:b/>
          <w:bCs/>
          <w:i/>
          <w:iCs/>
          <w:sz w:val="24"/>
          <w:szCs w:val="24"/>
          <w:lang w:eastAsia="zh-CN"/>
        </w:rPr>
        <w:t>26/10/2023</w:t>
      </w:r>
      <w:r w:rsidRPr="009764FE">
        <w:rPr>
          <w:rFonts w:ascii="Times New Roman" w:eastAsia="SimSun" w:hAnsi="Times New Roman" w:cs="Times New Roman"/>
          <w:sz w:val="24"/>
          <w:szCs w:val="24"/>
          <w:lang w:eastAsia="zh-CN"/>
        </w:rPr>
        <w:t xml:space="preserve"> </w:t>
      </w:r>
    </w:p>
    <w:p w14:paraId="7CBD3908" w14:textId="77777777" w:rsidR="009764FE" w:rsidRPr="009764FE" w:rsidRDefault="009764FE" w:rsidP="009764FE">
      <w:pPr>
        <w:jc w:val="both"/>
        <w:rPr>
          <w:rFonts w:ascii="Times New Roman" w:eastAsia="SimSun" w:hAnsi="Times New Roman" w:cs="Times New Roman"/>
          <w:b/>
          <w:bCs/>
          <w:sz w:val="24"/>
          <w:szCs w:val="24"/>
          <w:lang w:eastAsia="zh-CN"/>
        </w:rPr>
      </w:pPr>
    </w:p>
    <w:p w14:paraId="3BB0ECDD" w14:textId="1E78EFE0" w:rsidR="004217B6" w:rsidRPr="009764FE" w:rsidRDefault="009764FE" w:rsidP="004217B6">
      <w:pPr>
        <w:jc w:val="both"/>
        <w:rPr>
          <w:rFonts w:ascii="Times New Roman" w:eastAsia="SimSun" w:hAnsi="Times New Roman" w:cs="Times New Roman"/>
          <w:sz w:val="24"/>
          <w:szCs w:val="24"/>
          <w:lang w:eastAsia="zh-CN"/>
        </w:rPr>
      </w:pPr>
      <w:r w:rsidRPr="009764FE">
        <w:rPr>
          <w:rFonts w:ascii="Times New Roman" w:eastAsia="SimSun" w:hAnsi="Times New Roman" w:cs="Times New Roman"/>
          <w:b/>
          <w:bCs/>
          <w:sz w:val="24"/>
          <w:szCs w:val="24"/>
          <w:lang w:eastAsia="zh-CN"/>
        </w:rPr>
        <w:t xml:space="preserve">Ερώτηση </w:t>
      </w:r>
    </w:p>
    <w:p w14:paraId="265E0D09" w14:textId="49099DD7" w:rsidR="00341191" w:rsidRPr="009764FE" w:rsidRDefault="00341191" w:rsidP="004217B6">
      <w:pPr>
        <w:jc w:val="both"/>
        <w:rPr>
          <w:rFonts w:ascii="Times New Roman" w:hAnsi="Times New Roman" w:cs="Times New Roman"/>
          <w:sz w:val="24"/>
          <w:szCs w:val="24"/>
        </w:rPr>
      </w:pPr>
      <w:bookmarkStart w:id="1" w:name="_Hlk149243816"/>
      <w:bookmarkStart w:id="2" w:name="_Hlk149244096"/>
      <w:bookmarkEnd w:id="0"/>
      <w:r w:rsidRPr="009764FE">
        <w:rPr>
          <w:rFonts w:ascii="Times New Roman" w:hAnsi="Times New Roman" w:cs="Times New Roman"/>
          <w:sz w:val="24"/>
          <w:szCs w:val="24"/>
        </w:rPr>
        <w:t xml:space="preserve">Σας </w:t>
      </w:r>
      <w:r w:rsidR="004217B6" w:rsidRPr="009764FE">
        <w:rPr>
          <w:rFonts w:ascii="Times New Roman" w:hAnsi="Times New Roman" w:cs="Times New Roman"/>
          <w:sz w:val="24"/>
          <w:szCs w:val="24"/>
        </w:rPr>
        <w:t>στέλνω</w:t>
      </w:r>
      <w:r w:rsidRPr="009764FE">
        <w:rPr>
          <w:rFonts w:ascii="Times New Roman" w:hAnsi="Times New Roman" w:cs="Times New Roman"/>
          <w:sz w:val="24"/>
          <w:szCs w:val="24"/>
        </w:rPr>
        <w:t xml:space="preserve"> το συνημμένο (διακήρυξη), ενός διαγωνισμού που </w:t>
      </w:r>
      <w:r w:rsidR="004217B6" w:rsidRPr="009764FE">
        <w:rPr>
          <w:rFonts w:ascii="Times New Roman" w:hAnsi="Times New Roman" w:cs="Times New Roman"/>
          <w:sz w:val="24"/>
          <w:szCs w:val="24"/>
        </w:rPr>
        <w:t>είναι</w:t>
      </w:r>
      <w:r w:rsidRPr="009764FE">
        <w:rPr>
          <w:rFonts w:ascii="Times New Roman" w:hAnsi="Times New Roman" w:cs="Times New Roman"/>
          <w:sz w:val="24"/>
          <w:szCs w:val="24"/>
        </w:rPr>
        <w:t xml:space="preserve"> προ υπογραφής σύμβασης</w:t>
      </w:r>
      <w:r w:rsidR="00E354E8" w:rsidRPr="009764FE">
        <w:rPr>
          <w:rFonts w:ascii="Times New Roman" w:hAnsi="Times New Roman" w:cs="Times New Roman"/>
          <w:sz w:val="24"/>
          <w:szCs w:val="24"/>
        </w:rPr>
        <w:t xml:space="preserve"> </w:t>
      </w:r>
      <w:r w:rsidRPr="009764FE">
        <w:rPr>
          <w:rFonts w:ascii="Times New Roman" w:hAnsi="Times New Roman" w:cs="Times New Roman"/>
          <w:sz w:val="24"/>
          <w:szCs w:val="24"/>
        </w:rPr>
        <w:t xml:space="preserve">(δεν </w:t>
      </w:r>
      <w:r w:rsidR="004217B6" w:rsidRPr="009764FE">
        <w:rPr>
          <w:rFonts w:ascii="Times New Roman" w:hAnsi="Times New Roman" w:cs="Times New Roman"/>
          <w:sz w:val="24"/>
          <w:szCs w:val="24"/>
        </w:rPr>
        <w:t>έχει</w:t>
      </w:r>
      <w:r w:rsidRPr="009764FE">
        <w:rPr>
          <w:rFonts w:ascii="Times New Roman" w:hAnsi="Times New Roman" w:cs="Times New Roman"/>
          <w:sz w:val="24"/>
          <w:szCs w:val="24"/>
        </w:rPr>
        <w:t xml:space="preserve"> </w:t>
      </w:r>
      <w:r w:rsidR="004217B6" w:rsidRPr="009764FE">
        <w:rPr>
          <w:rFonts w:ascii="Times New Roman" w:hAnsi="Times New Roman" w:cs="Times New Roman"/>
          <w:sz w:val="24"/>
          <w:szCs w:val="24"/>
        </w:rPr>
        <w:t>σταλεί</w:t>
      </w:r>
      <w:r w:rsidRPr="009764FE">
        <w:rPr>
          <w:rFonts w:ascii="Times New Roman" w:hAnsi="Times New Roman" w:cs="Times New Roman"/>
          <w:sz w:val="24"/>
          <w:szCs w:val="24"/>
        </w:rPr>
        <w:t xml:space="preserve"> πρόσκληση - και έχει βγει η απόφαση οριστικής κατακύρωσης)</w:t>
      </w:r>
      <w:r w:rsidR="00E354E8" w:rsidRPr="009764FE">
        <w:rPr>
          <w:rFonts w:ascii="Times New Roman" w:hAnsi="Times New Roman" w:cs="Times New Roman"/>
          <w:sz w:val="24"/>
          <w:szCs w:val="24"/>
        </w:rPr>
        <w:t xml:space="preserve"> α</w:t>
      </w:r>
      <w:r w:rsidRPr="009764FE">
        <w:rPr>
          <w:rFonts w:ascii="Times New Roman" w:hAnsi="Times New Roman" w:cs="Times New Roman"/>
          <w:sz w:val="24"/>
          <w:szCs w:val="24"/>
        </w:rPr>
        <w:t>ναφέρονται τα κάτωθι:</w:t>
      </w:r>
    </w:p>
    <w:p w14:paraId="7D60D8A9" w14:textId="77777777" w:rsidR="00341191" w:rsidRPr="009764FE" w:rsidRDefault="00341191" w:rsidP="004217B6">
      <w:pPr>
        <w:jc w:val="both"/>
        <w:rPr>
          <w:rFonts w:ascii="Times New Roman" w:hAnsi="Times New Roman" w:cs="Times New Roman"/>
          <w:sz w:val="24"/>
          <w:szCs w:val="24"/>
        </w:rPr>
      </w:pPr>
      <w:r w:rsidRPr="009764FE">
        <w:rPr>
          <w:rFonts w:ascii="Times New Roman" w:hAnsi="Times New Roman" w:cs="Times New Roman"/>
          <w:sz w:val="24"/>
          <w:szCs w:val="24"/>
        </w:rPr>
        <w:t>Σελίδα 36 ξεκινάνε οι λόγοι αποκλεισμού από την σύναψη σύμβασης (22.Α.4)</w:t>
      </w:r>
    </w:p>
    <w:p w14:paraId="27CCEC75" w14:textId="2475F960" w:rsidR="00341191" w:rsidRPr="009764FE" w:rsidRDefault="004217B6" w:rsidP="004217B6">
      <w:pPr>
        <w:jc w:val="both"/>
        <w:rPr>
          <w:rFonts w:ascii="Times New Roman" w:hAnsi="Times New Roman" w:cs="Times New Roman"/>
          <w:bCs/>
          <w:i/>
          <w:iCs/>
          <w:sz w:val="24"/>
          <w:szCs w:val="24"/>
        </w:rPr>
      </w:pPr>
      <w:r w:rsidRPr="009764FE">
        <w:rPr>
          <w:rFonts w:ascii="Times New Roman" w:hAnsi="Times New Roman" w:cs="Times New Roman"/>
          <w:bCs/>
          <w:i/>
          <w:iCs/>
          <w:sz w:val="24"/>
          <w:szCs w:val="24"/>
        </w:rPr>
        <w:t>(</w:t>
      </w:r>
      <w:proofErr w:type="spellStart"/>
      <w:r w:rsidRPr="009764FE">
        <w:rPr>
          <w:rFonts w:ascii="Times New Roman" w:hAnsi="Times New Roman" w:cs="Times New Roman"/>
          <w:bCs/>
          <w:i/>
          <w:iCs/>
          <w:sz w:val="24"/>
          <w:szCs w:val="24"/>
        </w:rPr>
        <w:t>στ</w:t>
      </w:r>
      <w:proofErr w:type="spellEnd"/>
      <w:r w:rsidRPr="009764FE">
        <w:rPr>
          <w:rFonts w:ascii="Times New Roman" w:hAnsi="Times New Roman" w:cs="Times New Roman"/>
          <w:bCs/>
          <w:i/>
          <w:iCs/>
          <w:sz w:val="24"/>
          <w:szCs w:val="24"/>
        </w:rPr>
        <w:t xml:space="preserve">) εάν ο οικονομικός φορέας έχει επιδείξει </w:t>
      </w:r>
      <w:r w:rsidRPr="009764FE">
        <w:rPr>
          <w:rFonts w:ascii="Times New Roman" w:hAnsi="Times New Roman" w:cs="Times New Roman"/>
          <w:bCs/>
          <w:i/>
          <w:iCs/>
          <w:sz w:val="24"/>
          <w:szCs w:val="24"/>
          <w:u w:val="single"/>
        </w:rPr>
        <w:t>σοβαρή ή επαναλαμβανόμενη πλημμέλεια</w:t>
      </w:r>
      <w:r w:rsidRPr="009764FE">
        <w:rPr>
          <w:rFonts w:ascii="Times New Roman" w:hAnsi="Times New Roman" w:cs="Times New Roman"/>
          <w:bCs/>
          <w:i/>
          <w:iCs/>
          <w:sz w:val="24"/>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322D1C86" w14:textId="487E60EB" w:rsidR="00341191" w:rsidRPr="009764FE" w:rsidRDefault="00E354E8" w:rsidP="004217B6">
      <w:pPr>
        <w:jc w:val="both"/>
        <w:rPr>
          <w:rFonts w:ascii="Times New Roman" w:hAnsi="Times New Roman" w:cs="Times New Roman"/>
          <w:sz w:val="24"/>
          <w:szCs w:val="24"/>
        </w:rPr>
      </w:pPr>
      <w:r w:rsidRPr="009764FE">
        <w:rPr>
          <w:rFonts w:ascii="Times New Roman" w:hAnsi="Times New Roman" w:cs="Times New Roman"/>
          <w:sz w:val="24"/>
          <w:szCs w:val="24"/>
        </w:rPr>
        <w:t>Θα ήθελα να σας υποβάλλω το εξής ερώτημα: Μ</w:t>
      </w:r>
      <w:r w:rsidR="00341191" w:rsidRPr="009764FE">
        <w:rPr>
          <w:rFonts w:ascii="Times New Roman" w:hAnsi="Times New Roman" w:cs="Times New Roman"/>
          <w:sz w:val="24"/>
          <w:szCs w:val="24"/>
        </w:rPr>
        <w:t xml:space="preserve">ε βάση το προαναφερόμενο, αν υπάρχει απόφαση ΕΚΠΤΩΣΗΣ, </w:t>
      </w:r>
      <w:r w:rsidR="0060467C" w:rsidRPr="009764FE">
        <w:rPr>
          <w:rFonts w:ascii="Times New Roman" w:hAnsi="Times New Roman" w:cs="Times New Roman"/>
          <w:sz w:val="24"/>
          <w:szCs w:val="24"/>
        </w:rPr>
        <w:t>από</w:t>
      </w:r>
      <w:r w:rsidR="00341191" w:rsidRPr="009764FE">
        <w:rPr>
          <w:rFonts w:ascii="Times New Roman" w:hAnsi="Times New Roman" w:cs="Times New Roman"/>
          <w:sz w:val="24"/>
          <w:szCs w:val="24"/>
        </w:rPr>
        <w:t xml:space="preserve"> </w:t>
      </w:r>
      <w:r w:rsidR="0060467C" w:rsidRPr="009764FE">
        <w:rPr>
          <w:rFonts w:ascii="Times New Roman" w:hAnsi="Times New Roman" w:cs="Times New Roman"/>
          <w:sz w:val="24"/>
          <w:szCs w:val="24"/>
        </w:rPr>
        <w:t>σύμβαση</w:t>
      </w:r>
      <w:r w:rsidR="00341191" w:rsidRPr="009764FE">
        <w:rPr>
          <w:rFonts w:ascii="Times New Roman" w:hAnsi="Times New Roman" w:cs="Times New Roman"/>
          <w:sz w:val="24"/>
          <w:szCs w:val="24"/>
        </w:rPr>
        <w:t xml:space="preserve"> του </w:t>
      </w:r>
      <w:r w:rsidR="0060467C" w:rsidRPr="009764FE">
        <w:rPr>
          <w:rFonts w:ascii="Times New Roman" w:hAnsi="Times New Roman" w:cs="Times New Roman"/>
          <w:sz w:val="24"/>
          <w:szCs w:val="24"/>
        </w:rPr>
        <w:t>Δήμου</w:t>
      </w:r>
      <w:r w:rsidR="00341191" w:rsidRPr="009764FE">
        <w:rPr>
          <w:rFonts w:ascii="Times New Roman" w:hAnsi="Times New Roman" w:cs="Times New Roman"/>
          <w:sz w:val="24"/>
          <w:szCs w:val="24"/>
        </w:rPr>
        <w:t xml:space="preserve"> </w:t>
      </w:r>
      <w:r w:rsidRPr="009764FE">
        <w:rPr>
          <w:rFonts w:ascii="Times New Roman" w:hAnsi="Times New Roman" w:cs="Times New Roman"/>
          <w:sz w:val="24"/>
          <w:szCs w:val="24"/>
        </w:rPr>
        <w:t>μας</w:t>
      </w:r>
      <w:r w:rsidR="00341191" w:rsidRPr="009764FE">
        <w:rPr>
          <w:rFonts w:ascii="Times New Roman" w:hAnsi="Times New Roman" w:cs="Times New Roman"/>
          <w:sz w:val="24"/>
          <w:szCs w:val="24"/>
        </w:rPr>
        <w:t xml:space="preserve"> (σε έργο που εκτελεί ο ανάδοχος που </w:t>
      </w:r>
      <w:r w:rsidRPr="009764FE">
        <w:rPr>
          <w:rFonts w:ascii="Times New Roman" w:hAnsi="Times New Roman" w:cs="Times New Roman"/>
          <w:sz w:val="24"/>
          <w:szCs w:val="24"/>
        </w:rPr>
        <w:t>λαμβάνει μέρος στον διαγωνισμό, την Διακήρυξη του οποίου σας επισυνάπτω</w:t>
      </w:r>
      <w:r w:rsidR="00341191" w:rsidRPr="009764FE">
        <w:rPr>
          <w:rFonts w:ascii="Times New Roman" w:hAnsi="Times New Roman" w:cs="Times New Roman"/>
          <w:sz w:val="24"/>
          <w:szCs w:val="24"/>
        </w:rPr>
        <w:t>)</w:t>
      </w:r>
      <w:r w:rsidR="004217B6" w:rsidRPr="009764FE">
        <w:rPr>
          <w:rFonts w:ascii="Times New Roman" w:hAnsi="Times New Roman" w:cs="Times New Roman"/>
          <w:sz w:val="24"/>
          <w:szCs w:val="24"/>
        </w:rPr>
        <w:t xml:space="preserve"> </w:t>
      </w:r>
      <w:r w:rsidR="00341191" w:rsidRPr="009764FE">
        <w:rPr>
          <w:rFonts w:ascii="Times New Roman" w:hAnsi="Times New Roman" w:cs="Times New Roman"/>
          <w:sz w:val="24"/>
          <w:szCs w:val="24"/>
        </w:rPr>
        <w:t xml:space="preserve">η οποία με απόφαση της Αποκεντρωμένης </w:t>
      </w:r>
      <w:r w:rsidRPr="009764FE">
        <w:rPr>
          <w:rFonts w:ascii="Times New Roman" w:hAnsi="Times New Roman" w:cs="Times New Roman"/>
          <w:sz w:val="24"/>
          <w:szCs w:val="24"/>
        </w:rPr>
        <w:t>μετά</w:t>
      </w:r>
      <w:r w:rsidR="00341191" w:rsidRPr="009764FE">
        <w:rPr>
          <w:rFonts w:ascii="Times New Roman" w:hAnsi="Times New Roman" w:cs="Times New Roman"/>
          <w:sz w:val="24"/>
          <w:szCs w:val="24"/>
        </w:rPr>
        <w:t xml:space="preserve"> το Τεχνικό Συμβούλιο (γνωμοδότηση</w:t>
      </w:r>
      <w:r w:rsidR="00341191" w:rsidRPr="009764FE">
        <w:rPr>
          <w:rFonts w:ascii="Times New Roman" w:hAnsi="Times New Roman" w:cs="Times New Roman"/>
          <w:b/>
          <w:bCs/>
          <w:sz w:val="24"/>
          <w:szCs w:val="24"/>
        </w:rPr>
        <w:t>)</w:t>
      </w:r>
      <w:r w:rsidR="004217B6" w:rsidRPr="009764FE">
        <w:rPr>
          <w:rFonts w:ascii="Times New Roman" w:hAnsi="Times New Roman" w:cs="Times New Roman"/>
          <w:b/>
          <w:bCs/>
          <w:sz w:val="24"/>
          <w:szCs w:val="24"/>
        </w:rPr>
        <w:t xml:space="preserve"> </w:t>
      </w:r>
      <w:r w:rsidR="0060467C" w:rsidRPr="009764FE">
        <w:rPr>
          <w:rFonts w:ascii="Times New Roman" w:hAnsi="Times New Roman" w:cs="Times New Roman"/>
          <w:b/>
          <w:bCs/>
          <w:sz w:val="24"/>
          <w:szCs w:val="24"/>
        </w:rPr>
        <w:t>είναι</w:t>
      </w:r>
      <w:r w:rsidR="00341191" w:rsidRPr="009764FE">
        <w:rPr>
          <w:rFonts w:ascii="Times New Roman" w:hAnsi="Times New Roman" w:cs="Times New Roman"/>
          <w:b/>
          <w:bCs/>
          <w:sz w:val="24"/>
          <w:szCs w:val="24"/>
        </w:rPr>
        <w:t xml:space="preserve"> πλέον Οριστική</w:t>
      </w:r>
      <w:r w:rsidR="00341191" w:rsidRPr="009764FE">
        <w:rPr>
          <w:rFonts w:ascii="Times New Roman" w:hAnsi="Times New Roman" w:cs="Times New Roman"/>
          <w:sz w:val="24"/>
          <w:szCs w:val="24"/>
        </w:rPr>
        <w:t xml:space="preserve"> </w:t>
      </w:r>
      <w:r w:rsidR="004217B6" w:rsidRPr="009764FE">
        <w:rPr>
          <w:rFonts w:ascii="Times New Roman" w:hAnsi="Times New Roman" w:cs="Times New Roman"/>
          <w:sz w:val="24"/>
          <w:szCs w:val="24"/>
        </w:rPr>
        <w:t xml:space="preserve"> </w:t>
      </w:r>
      <w:r w:rsidR="0060467C" w:rsidRPr="009764FE">
        <w:rPr>
          <w:rFonts w:ascii="Times New Roman" w:hAnsi="Times New Roman" w:cs="Times New Roman"/>
          <w:b/>
          <w:bCs/>
          <w:sz w:val="24"/>
          <w:szCs w:val="24"/>
          <w:u w:val="single"/>
        </w:rPr>
        <w:t>έχει</w:t>
      </w:r>
      <w:r w:rsidR="00341191" w:rsidRPr="009764FE">
        <w:rPr>
          <w:rFonts w:ascii="Times New Roman" w:hAnsi="Times New Roman" w:cs="Times New Roman"/>
          <w:b/>
          <w:bCs/>
          <w:sz w:val="24"/>
          <w:szCs w:val="24"/>
          <w:u w:val="single"/>
        </w:rPr>
        <w:t xml:space="preserve"> ο Δήμος </w:t>
      </w:r>
      <w:r w:rsidRPr="009764FE">
        <w:rPr>
          <w:rFonts w:ascii="Times New Roman" w:hAnsi="Times New Roman" w:cs="Times New Roman"/>
          <w:b/>
          <w:bCs/>
          <w:sz w:val="24"/>
          <w:szCs w:val="24"/>
          <w:u w:val="single"/>
        </w:rPr>
        <w:t>μας</w:t>
      </w:r>
      <w:r w:rsidR="00341191" w:rsidRPr="009764FE">
        <w:rPr>
          <w:rFonts w:ascii="Times New Roman" w:hAnsi="Times New Roman" w:cs="Times New Roman"/>
          <w:b/>
          <w:bCs/>
          <w:sz w:val="24"/>
          <w:szCs w:val="24"/>
          <w:u w:val="single"/>
        </w:rPr>
        <w:t xml:space="preserve"> την δυνατότητα να μην υπογράψει επόμενο συμφωνητικό με τον συγκεκριμένο ανάδοχο</w:t>
      </w:r>
      <w:r w:rsidRPr="009764FE">
        <w:rPr>
          <w:rFonts w:ascii="Times New Roman" w:hAnsi="Times New Roman" w:cs="Times New Roman"/>
          <w:sz w:val="24"/>
          <w:szCs w:val="24"/>
        </w:rPr>
        <w:t xml:space="preserve"> με βάση τα παραπάνω</w:t>
      </w:r>
      <w:r w:rsidR="00341191" w:rsidRPr="009764FE">
        <w:rPr>
          <w:rFonts w:ascii="Times New Roman" w:hAnsi="Times New Roman" w:cs="Times New Roman"/>
          <w:b/>
          <w:bCs/>
          <w:sz w:val="24"/>
          <w:szCs w:val="24"/>
        </w:rPr>
        <w:t>;</w:t>
      </w:r>
      <w:r w:rsidRPr="009764FE">
        <w:rPr>
          <w:rFonts w:ascii="Times New Roman" w:hAnsi="Times New Roman" w:cs="Times New Roman"/>
          <w:b/>
          <w:bCs/>
          <w:sz w:val="24"/>
          <w:szCs w:val="24"/>
        </w:rPr>
        <w:t xml:space="preserve"> </w:t>
      </w:r>
      <w:r w:rsidR="00341191" w:rsidRPr="009764FE">
        <w:rPr>
          <w:rFonts w:ascii="Times New Roman" w:hAnsi="Times New Roman" w:cs="Times New Roman"/>
          <w:sz w:val="24"/>
          <w:szCs w:val="24"/>
        </w:rPr>
        <w:t>'Η απαιτούνται και άλλες επιπρόσθετες ενέργειες (που αναφέρονται στην Νομοθεσία) και οι οποίες πρέπει να έχουν γίνει για να προκύψει αυτό</w:t>
      </w:r>
      <w:r w:rsidRPr="009764FE">
        <w:rPr>
          <w:rFonts w:ascii="Times New Roman" w:hAnsi="Times New Roman" w:cs="Times New Roman"/>
          <w:b/>
          <w:bCs/>
          <w:sz w:val="24"/>
          <w:szCs w:val="24"/>
        </w:rPr>
        <w:t>;</w:t>
      </w:r>
    </w:p>
    <w:bookmarkEnd w:id="1"/>
    <w:p w14:paraId="6AF24861" w14:textId="6B482B86" w:rsidR="00341191" w:rsidRPr="009764FE" w:rsidRDefault="00402C8A" w:rsidP="0060467C">
      <w:pPr>
        <w:jc w:val="both"/>
        <w:rPr>
          <w:rFonts w:ascii="Times New Roman" w:hAnsi="Times New Roman" w:cs="Times New Roman"/>
          <w:b/>
          <w:bCs/>
          <w:i/>
          <w:iCs/>
          <w:sz w:val="24"/>
          <w:szCs w:val="24"/>
        </w:rPr>
      </w:pPr>
      <w:r w:rsidRPr="009764FE">
        <w:rPr>
          <w:rFonts w:ascii="Times New Roman" w:hAnsi="Times New Roman" w:cs="Times New Roman"/>
          <w:sz w:val="24"/>
          <w:szCs w:val="24"/>
        </w:rPr>
        <w:t xml:space="preserve">Στο στοιχείο </w:t>
      </w:r>
      <w:r w:rsidRPr="009764FE">
        <w:rPr>
          <w:rFonts w:ascii="Times New Roman" w:hAnsi="Times New Roman" w:cs="Times New Roman"/>
          <w:b/>
          <w:bCs/>
          <w:i/>
          <w:iCs/>
          <w:sz w:val="24"/>
          <w:szCs w:val="24"/>
        </w:rPr>
        <w:t xml:space="preserve">(θ) </w:t>
      </w:r>
      <w:r w:rsidRPr="009764FE">
        <w:rPr>
          <w:rFonts w:ascii="Times New Roman" w:hAnsi="Times New Roman" w:cs="Times New Roman"/>
          <w:sz w:val="24"/>
          <w:szCs w:val="24"/>
        </w:rPr>
        <w:t xml:space="preserve">της ίδιας διακήρυξης: </w:t>
      </w:r>
      <w:r w:rsidR="0060467C" w:rsidRPr="009764FE">
        <w:rPr>
          <w:rFonts w:ascii="Times New Roman" w:hAnsi="Times New Roman" w:cs="Times New Roman"/>
          <w:b/>
          <w:bCs/>
          <w:i/>
          <w:iCs/>
          <w:sz w:val="24"/>
          <w:szCs w:val="24"/>
        </w:rPr>
        <w:t>(θ) εάν ο οικονομικός φορέας έχει διαπράξει σοβαρό επαγγελματικό παράπτωμα, το οποίο θέτει σε αμφιβολία την ακεραιότητά του.</w:t>
      </w:r>
    </w:p>
    <w:p w14:paraId="7F5E0911" w14:textId="5A82747C" w:rsidR="004217B6" w:rsidRPr="009764FE" w:rsidRDefault="009764FE" w:rsidP="004217B6">
      <w:pPr>
        <w:jc w:val="both"/>
        <w:rPr>
          <w:rFonts w:ascii="Times New Roman" w:hAnsi="Times New Roman" w:cs="Times New Roman"/>
          <w:sz w:val="24"/>
          <w:szCs w:val="24"/>
        </w:rPr>
      </w:pPr>
      <w:r w:rsidRPr="009764FE">
        <w:rPr>
          <w:rFonts w:ascii="Times New Roman" w:hAnsi="Times New Roman" w:cs="Times New Roman"/>
          <w:sz w:val="24"/>
          <w:szCs w:val="24"/>
        </w:rPr>
        <w:t>Ε</w:t>
      </w:r>
      <w:r w:rsidR="00341191" w:rsidRPr="009764FE">
        <w:rPr>
          <w:rFonts w:ascii="Times New Roman" w:hAnsi="Times New Roman" w:cs="Times New Roman"/>
          <w:sz w:val="24"/>
          <w:szCs w:val="24"/>
        </w:rPr>
        <w:t xml:space="preserve">πίσης με βάση το προαναφερόμενο </w:t>
      </w:r>
      <w:r w:rsidRPr="009764FE">
        <w:rPr>
          <w:rFonts w:ascii="Times New Roman" w:hAnsi="Times New Roman" w:cs="Times New Roman"/>
          <w:sz w:val="24"/>
          <w:szCs w:val="24"/>
        </w:rPr>
        <w:t>α</w:t>
      </w:r>
      <w:r w:rsidR="00341191" w:rsidRPr="009764FE">
        <w:rPr>
          <w:rFonts w:ascii="Times New Roman" w:hAnsi="Times New Roman" w:cs="Times New Roman"/>
          <w:sz w:val="24"/>
          <w:szCs w:val="24"/>
        </w:rPr>
        <w:t xml:space="preserve">ν τα έγγραφα που ο </w:t>
      </w:r>
      <w:proofErr w:type="spellStart"/>
      <w:r w:rsidR="00341191" w:rsidRPr="009764FE">
        <w:rPr>
          <w:rFonts w:ascii="Times New Roman" w:hAnsi="Times New Roman" w:cs="Times New Roman"/>
          <w:sz w:val="24"/>
          <w:szCs w:val="24"/>
        </w:rPr>
        <w:t>αντισυμβαλόμενος</w:t>
      </w:r>
      <w:proofErr w:type="spellEnd"/>
      <w:r w:rsidR="00341191" w:rsidRPr="009764FE">
        <w:rPr>
          <w:rFonts w:ascii="Times New Roman" w:hAnsi="Times New Roman" w:cs="Times New Roman"/>
          <w:sz w:val="24"/>
          <w:szCs w:val="24"/>
        </w:rPr>
        <w:t xml:space="preserve"> ανάδοχος που </w:t>
      </w:r>
      <w:r w:rsidR="0060467C" w:rsidRPr="009764FE">
        <w:rPr>
          <w:rFonts w:ascii="Times New Roman" w:hAnsi="Times New Roman" w:cs="Times New Roman"/>
          <w:sz w:val="24"/>
          <w:szCs w:val="24"/>
        </w:rPr>
        <w:t>έχει</w:t>
      </w:r>
      <w:r w:rsidR="00341191" w:rsidRPr="009764FE">
        <w:rPr>
          <w:rFonts w:ascii="Times New Roman" w:hAnsi="Times New Roman" w:cs="Times New Roman"/>
          <w:sz w:val="24"/>
          <w:szCs w:val="24"/>
        </w:rPr>
        <w:t xml:space="preserve"> κηρυχτεί έκπτωτος </w:t>
      </w:r>
      <w:r w:rsidR="0060467C" w:rsidRPr="009764FE">
        <w:rPr>
          <w:rFonts w:ascii="Times New Roman" w:hAnsi="Times New Roman" w:cs="Times New Roman"/>
          <w:sz w:val="24"/>
          <w:szCs w:val="24"/>
        </w:rPr>
        <w:t>είναι</w:t>
      </w:r>
      <w:r w:rsidR="00341191" w:rsidRPr="009764FE">
        <w:rPr>
          <w:rFonts w:ascii="Times New Roman" w:hAnsi="Times New Roman" w:cs="Times New Roman"/>
          <w:sz w:val="24"/>
          <w:szCs w:val="24"/>
        </w:rPr>
        <w:t xml:space="preserve"> προσβλητικά και καταφέρονται και κατά συγκεκριμένων προσώπων της Υπηρεσία, </w:t>
      </w:r>
      <w:r w:rsidR="004217B6" w:rsidRPr="009764FE">
        <w:rPr>
          <w:rFonts w:ascii="Times New Roman" w:hAnsi="Times New Roman" w:cs="Times New Roman"/>
          <w:sz w:val="24"/>
          <w:szCs w:val="24"/>
        </w:rPr>
        <w:t xml:space="preserve"> </w:t>
      </w:r>
      <w:r w:rsidR="00341191" w:rsidRPr="009764FE">
        <w:rPr>
          <w:rFonts w:ascii="Times New Roman" w:hAnsi="Times New Roman" w:cs="Times New Roman"/>
          <w:sz w:val="24"/>
          <w:szCs w:val="24"/>
        </w:rPr>
        <w:t>αυτό εμπίπτει στο επαγγελματικό παράπτωμα;</w:t>
      </w:r>
    </w:p>
    <w:p w14:paraId="4D0FD0C3" w14:textId="3AD84934" w:rsidR="00341191" w:rsidRPr="009764FE" w:rsidRDefault="009764FE" w:rsidP="004217B6">
      <w:pPr>
        <w:jc w:val="both"/>
        <w:rPr>
          <w:rFonts w:ascii="Times New Roman" w:hAnsi="Times New Roman" w:cs="Times New Roman"/>
          <w:sz w:val="24"/>
          <w:szCs w:val="24"/>
        </w:rPr>
      </w:pPr>
      <w:r w:rsidRPr="009764FE">
        <w:rPr>
          <w:rFonts w:ascii="Times New Roman" w:hAnsi="Times New Roman" w:cs="Times New Roman"/>
          <w:sz w:val="24"/>
          <w:szCs w:val="24"/>
        </w:rPr>
        <w:t>Ε</w:t>
      </w:r>
      <w:r w:rsidR="0060467C" w:rsidRPr="009764FE">
        <w:rPr>
          <w:rFonts w:ascii="Times New Roman" w:hAnsi="Times New Roman" w:cs="Times New Roman"/>
          <w:sz w:val="24"/>
          <w:szCs w:val="24"/>
        </w:rPr>
        <w:t>ίναι</w:t>
      </w:r>
      <w:r w:rsidR="00341191" w:rsidRPr="009764FE">
        <w:rPr>
          <w:rFonts w:ascii="Times New Roman" w:hAnsi="Times New Roman" w:cs="Times New Roman"/>
          <w:sz w:val="24"/>
          <w:szCs w:val="24"/>
        </w:rPr>
        <w:t xml:space="preserve"> </w:t>
      </w:r>
      <w:r w:rsidR="0060467C" w:rsidRPr="009764FE">
        <w:rPr>
          <w:rFonts w:ascii="Times New Roman" w:hAnsi="Times New Roman" w:cs="Times New Roman"/>
          <w:sz w:val="24"/>
          <w:szCs w:val="24"/>
        </w:rPr>
        <w:t>σοβαρό</w:t>
      </w:r>
      <w:r w:rsidR="00341191" w:rsidRPr="009764FE">
        <w:rPr>
          <w:rFonts w:ascii="Times New Roman" w:hAnsi="Times New Roman" w:cs="Times New Roman"/>
          <w:sz w:val="24"/>
          <w:szCs w:val="24"/>
        </w:rPr>
        <w:t xml:space="preserve"> επαγγελματικό παράπτωμα</w:t>
      </w:r>
      <w:r w:rsidR="004217B6" w:rsidRPr="009764FE">
        <w:rPr>
          <w:rFonts w:ascii="Times New Roman" w:hAnsi="Times New Roman" w:cs="Times New Roman"/>
          <w:sz w:val="24"/>
          <w:szCs w:val="24"/>
        </w:rPr>
        <w:t xml:space="preserve"> </w:t>
      </w:r>
      <w:r w:rsidR="00341191" w:rsidRPr="009764FE">
        <w:rPr>
          <w:rFonts w:ascii="Times New Roman" w:hAnsi="Times New Roman" w:cs="Times New Roman"/>
          <w:sz w:val="24"/>
          <w:szCs w:val="24"/>
        </w:rPr>
        <w:t>θέτει σε αμφιβολία την ακεραιότητα του;</w:t>
      </w:r>
    </w:p>
    <w:bookmarkEnd w:id="2"/>
    <w:p w14:paraId="1A6F51DE" w14:textId="7904D981" w:rsidR="00341191" w:rsidRPr="009764FE" w:rsidRDefault="00341191" w:rsidP="004217B6">
      <w:pPr>
        <w:jc w:val="both"/>
        <w:rPr>
          <w:rFonts w:ascii="Times New Roman" w:hAnsi="Times New Roman" w:cs="Times New Roman"/>
          <w:sz w:val="24"/>
          <w:szCs w:val="24"/>
        </w:rPr>
      </w:pPr>
    </w:p>
    <w:p w14:paraId="4A19305C" w14:textId="5219D0A2" w:rsidR="00EC495E" w:rsidRPr="009764FE" w:rsidRDefault="00AF1602" w:rsidP="004217B6">
      <w:pPr>
        <w:jc w:val="both"/>
        <w:rPr>
          <w:rFonts w:ascii="Times New Roman" w:hAnsi="Times New Roman" w:cs="Times New Roman"/>
          <w:b/>
          <w:bCs/>
          <w:sz w:val="24"/>
          <w:szCs w:val="24"/>
        </w:rPr>
      </w:pPr>
      <w:r w:rsidRPr="009764FE">
        <w:rPr>
          <w:rFonts w:ascii="Times New Roman" w:hAnsi="Times New Roman" w:cs="Times New Roman"/>
          <w:b/>
          <w:bCs/>
          <w:sz w:val="24"/>
          <w:szCs w:val="24"/>
        </w:rPr>
        <w:t xml:space="preserve">Απάντηση: </w:t>
      </w:r>
    </w:p>
    <w:p w14:paraId="781AEE94" w14:textId="77777777" w:rsidR="00D42794" w:rsidRPr="00C64EE1" w:rsidRDefault="00D42794" w:rsidP="00D42794">
      <w:pPr>
        <w:jc w:val="both"/>
        <w:rPr>
          <w:rFonts w:ascii="Times New Roman" w:hAnsi="Times New Roman" w:cs="Times New Roman"/>
          <w:b/>
          <w:bCs/>
          <w:sz w:val="24"/>
          <w:szCs w:val="24"/>
          <w:u w:val="double"/>
        </w:rPr>
      </w:pPr>
      <w:r w:rsidRPr="00AF1602">
        <w:rPr>
          <w:rFonts w:ascii="Times New Roman" w:hAnsi="Times New Roman" w:cs="Times New Roman"/>
          <w:b/>
          <w:bCs/>
          <w:sz w:val="24"/>
          <w:szCs w:val="24"/>
        </w:rPr>
        <w:t>Απάντηση</w:t>
      </w:r>
      <w:r>
        <w:rPr>
          <w:rFonts w:ascii="Times New Roman" w:hAnsi="Times New Roman" w:cs="Times New Roman"/>
          <w:b/>
          <w:bCs/>
          <w:sz w:val="24"/>
          <w:szCs w:val="24"/>
        </w:rPr>
        <w:t xml:space="preserve"> ε</w:t>
      </w:r>
      <w:r w:rsidRPr="00C64EE1">
        <w:rPr>
          <w:rFonts w:ascii="Times New Roman" w:hAnsi="Times New Roman" w:cs="Times New Roman"/>
          <w:b/>
          <w:bCs/>
          <w:sz w:val="24"/>
          <w:szCs w:val="24"/>
          <w:u w:val="double"/>
        </w:rPr>
        <w:t>πί του 1ου ερωτήματος</w:t>
      </w:r>
      <w:r w:rsidRPr="005A7ACC">
        <w:rPr>
          <w:rFonts w:ascii="Times New Roman" w:hAnsi="Times New Roman" w:cs="Times New Roman"/>
          <w:b/>
          <w:bCs/>
          <w:sz w:val="24"/>
          <w:szCs w:val="24"/>
          <w:u w:val="double"/>
        </w:rPr>
        <w:t xml:space="preserve">: </w:t>
      </w:r>
    </w:p>
    <w:p w14:paraId="3C3F9ECC" w14:textId="77777777" w:rsidR="00D42794" w:rsidRPr="00AF1602" w:rsidRDefault="00D42794" w:rsidP="00D42794">
      <w:pPr>
        <w:jc w:val="both"/>
        <w:rPr>
          <w:rFonts w:ascii="Times New Roman" w:hAnsi="Times New Roman" w:cs="Times New Roman"/>
          <w:sz w:val="24"/>
          <w:szCs w:val="24"/>
        </w:rPr>
      </w:pPr>
      <w:r>
        <w:rPr>
          <w:rFonts w:ascii="Times New Roman" w:hAnsi="Times New Roman" w:cs="Times New Roman"/>
          <w:sz w:val="24"/>
          <w:szCs w:val="24"/>
        </w:rPr>
        <w:t>Η Έκπτωση του Αναδόχου δεν συνεπάγεται αυτομάτως τον αποκλεισμό του από τις Δημοπρασίες ανάθεσης άλλων Δημοσίων Έργων, μπορεί όμως να αποτελέσει αντικείμενο ελέγχου της φερεγγυότητάς του (Οικονομικής και Τεχνικής) και ακόμα της πειθαρχικής εναντίον του δίωξης κατά το άρθρο 82 παρ. 1 ΚΔΕ (που κωδικοποιεί διάταξη του ΠΔ 278/1999) που σε συνδυασμό και με άλλα σε βάρος του στοιχεία να τον οδηγήσουν σε αποκλεισμό. («Σύμβαση Εκτέλεσης Δημοσίου Έργου»).</w:t>
      </w:r>
    </w:p>
    <w:p w14:paraId="6FBBDBD6" w14:textId="77777777" w:rsidR="00D42794" w:rsidRPr="00C64EE1" w:rsidRDefault="00D42794" w:rsidP="00D42794">
      <w:pPr>
        <w:jc w:val="both"/>
        <w:rPr>
          <w:rFonts w:ascii="Times New Roman" w:hAnsi="Times New Roman" w:cs="Times New Roman"/>
          <w:b/>
          <w:bCs/>
          <w:sz w:val="24"/>
          <w:szCs w:val="24"/>
          <w:u w:val="double"/>
        </w:rPr>
      </w:pPr>
      <w:r w:rsidRPr="00AF1602">
        <w:rPr>
          <w:rFonts w:ascii="Times New Roman" w:hAnsi="Times New Roman" w:cs="Times New Roman"/>
          <w:b/>
          <w:bCs/>
          <w:sz w:val="24"/>
          <w:szCs w:val="24"/>
        </w:rPr>
        <w:lastRenderedPageBreak/>
        <w:t>Απάντηση</w:t>
      </w:r>
      <w:r w:rsidRPr="00C64EE1">
        <w:rPr>
          <w:rFonts w:ascii="Times New Roman" w:hAnsi="Times New Roman" w:cs="Times New Roman"/>
          <w:b/>
          <w:bCs/>
          <w:sz w:val="24"/>
          <w:szCs w:val="24"/>
          <w:u w:val="double"/>
        </w:rPr>
        <w:t xml:space="preserve"> </w:t>
      </w:r>
      <w:r>
        <w:rPr>
          <w:rFonts w:ascii="Times New Roman" w:hAnsi="Times New Roman" w:cs="Times New Roman"/>
          <w:b/>
          <w:bCs/>
          <w:sz w:val="24"/>
          <w:szCs w:val="24"/>
          <w:u w:val="double"/>
        </w:rPr>
        <w:t>ε</w:t>
      </w:r>
      <w:r w:rsidRPr="00C64EE1">
        <w:rPr>
          <w:rFonts w:ascii="Times New Roman" w:hAnsi="Times New Roman" w:cs="Times New Roman"/>
          <w:b/>
          <w:bCs/>
          <w:sz w:val="24"/>
          <w:szCs w:val="24"/>
          <w:u w:val="double"/>
        </w:rPr>
        <w:t xml:space="preserve">πί του </w:t>
      </w:r>
      <w:r>
        <w:rPr>
          <w:rFonts w:ascii="Times New Roman" w:hAnsi="Times New Roman" w:cs="Times New Roman"/>
          <w:b/>
          <w:bCs/>
          <w:sz w:val="24"/>
          <w:szCs w:val="24"/>
          <w:u w:val="double"/>
        </w:rPr>
        <w:t>2</w:t>
      </w:r>
      <w:r w:rsidRPr="00C64EE1">
        <w:rPr>
          <w:rFonts w:ascii="Times New Roman" w:hAnsi="Times New Roman" w:cs="Times New Roman"/>
          <w:b/>
          <w:bCs/>
          <w:sz w:val="24"/>
          <w:szCs w:val="24"/>
          <w:u w:val="double"/>
        </w:rPr>
        <w:t xml:space="preserve">ου ερωτήματος: </w:t>
      </w:r>
    </w:p>
    <w:p w14:paraId="14ED97E2" w14:textId="77777777" w:rsidR="00D42794" w:rsidRPr="00C64EE1" w:rsidRDefault="00D42794" w:rsidP="00D42794">
      <w:pPr>
        <w:jc w:val="both"/>
        <w:rPr>
          <w:rFonts w:ascii="Times New Roman" w:hAnsi="Times New Roman" w:cs="Times New Roman"/>
          <w:b/>
          <w:bCs/>
          <w:i/>
          <w:iCs/>
          <w:sz w:val="24"/>
          <w:szCs w:val="24"/>
        </w:rPr>
      </w:pPr>
      <w:r w:rsidRPr="005A564E">
        <w:rPr>
          <w:rFonts w:ascii="Times New Roman" w:hAnsi="Times New Roman" w:cs="Times New Roman"/>
          <w:b/>
          <w:bCs/>
          <w:i/>
          <w:iCs/>
          <w:sz w:val="24"/>
          <w:szCs w:val="24"/>
        </w:rPr>
        <w:t>Άρθρο 74</w:t>
      </w:r>
      <w:r>
        <w:rPr>
          <w:rFonts w:ascii="Times New Roman" w:hAnsi="Times New Roman" w:cs="Times New Roman"/>
          <w:b/>
          <w:bCs/>
          <w:i/>
          <w:iCs/>
          <w:sz w:val="24"/>
          <w:szCs w:val="24"/>
        </w:rPr>
        <w:t xml:space="preserve"> Ν. 4412/2016 (όπως </w:t>
      </w:r>
      <w:r w:rsidRPr="00C64EE1">
        <w:rPr>
          <w:rFonts w:ascii="Times New Roman" w:hAnsi="Times New Roman" w:cs="Times New Roman"/>
          <w:b/>
          <w:bCs/>
          <w:i/>
          <w:iCs/>
          <w:sz w:val="24"/>
          <w:szCs w:val="24"/>
        </w:rPr>
        <w:t>αντικαταστάθηκε</w:t>
      </w:r>
      <w:r>
        <w:rPr>
          <w:rFonts w:ascii="Times New Roman" w:hAnsi="Times New Roman" w:cs="Times New Roman"/>
          <w:b/>
          <w:bCs/>
          <w:i/>
          <w:iCs/>
          <w:sz w:val="24"/>
          <w:szCs w:val="24"/>
        </w:rPr>
        <w:t xml:space="preserve"> </w:t>
      </w:r>
      <w:r w:rsidRPr="00C64EE1">
        <w:rPr>
          <w:rFonts w:ascii="Times New Roman" w:hAnsi="Times New Roman" w:cs="Times New Roman"/>
          <w:b/>
          <w:bCs/>
          <w:i/>
          <w:iCs/>
          <w:sz w:val="24"/>
          <w:szCs w:val="24"/>
        </w:rPr>
        <w:t>με το άρθρο 23 Ν.4782/2021, ΦΕΚ Α` 36/09.03.2021</w:t>
      </w:r>
      <w:r>
        <w:rPr>
          <w:rFonts w:ascii="Times New Roman" w:hAnsi="Times New Roman" w:cs="Times New Roman"/>
          <w:b/>
          <w:bCs/>
          <w:i/>
          <w:iCs/>
          <w:sz w:val="24"/>
          <w:szCs w:val="24"/>
        </w:rPr>
        <w:t>)</w:t>
      </w:r>
      <w:r w:rsidRPr="00C64EE1">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r w:rsidRPr="005A564E">
        <w:rPr>
          <w:rFonts w:ascii="Times New Roman" w:hAnsi="Times New Roman" w:cs="Times New Roman"/>
          <w:b/>
          <w:bCs/>
          <w:i/>
          <w:iCs/>
          <w:sz w:val="24"/>
          <w:szCs w:val="24"/>
        </w:rPr>
        <w:t>Αποκλεισμός οικονομικού φορέα από δημόσιες συμβάσεις - Εξουσιοδοτικές διατάξεις (άρθρο 57 παρ. 7 της Οδηγίας 2014/24/ΕΕ)</w:t>
      </w:r>
      <w:r>
        <w:rPr>
          <w:rFonts w:ascii="Times New Roman" w:hAnsi="Times New Roman" w:cs="Times New Roman"/>
          <w:b/>
          <w:bCs/>
          <w:i/>
          <w:iCs/>
          <w:sz w:val="24"/>
          <w:szCs w:val="24"/>
        </w:rPr>
        <w:t>)».</w:t>
      </w:r>
      <w:r w:rsidRPr="00C64EE1">
        <w:rPr>
          <w:rFonts w:ascii="Times New Roman" w:hAnsi="Times New Roman" w:cs="Times New Roman"/>
          <w:b/>
          <w:bCs/>
          <w:i/>
          <w:iCs/>
          <w:sz w:val="24"/>
          <w:szCs w:val="24"/>
        </w:rPr>
        <w:t xml:space="preserve">: </w:t>
      </w:r>
    </w:p>
    <w:p w14:paraId="79E86562" w14:textId="77777777" w:rsidR="00D42794" w:rsidRPr="00C64EE1" w:rsidRDefault="00D42794" w:rsidP="00D42794">
      <w:pPr>
        <w:jc w:val="both"/>
        <w:rPr>
          <w:rFonts w:ascii="Times New Roman" w:hAnsi="Times New Roman" w:cs="Times New Roman"/>
          <w:i/>
          <w:iCs/>
          <w:sz w:val="24"/>
          <w:szCs w:val="24"/>
        </w:rPr>
      </w:pPr>
      <w:r>
        <w:rPr>
          <w:rFonts w:ascii="Times New Roman" w:hAnsi="Times New Roman" w:cs="Times New Roman"/>
          <w:b/>
          <w:bCs/>
          <w:i/>
          <w:iCs/>
          <w:sz w:val="24"/>
          <w:szCs w:val="24"/>
        </w:rPr>
        <w:t>Παρ.</w:t>
      </w:r>
      <w:r w:rsidRPr="005A564E">
        <w:rPr>
          <w:rFonts w:ascii="Times New Roman" w:hAnsi="Times New Roman" w:cs="Times New Roman"/>
          <w:b/>
          <w:bCs/>
          <w:i/>
          <w:iCs/>
          <w:sz w:val="24"/>
          <w:szCs w:val="24"/>
        </w:rPr>
        <w:t xml:space="preserve"> 1. </w:t>
      </w:r>
      <w:r w:rsidRPr="00C64EE1">
        <w:rPr>
          <w:rFonts w:ascii="Times New Roman" w:hAnsi="Times New Roman" w:cs="Times New Roman"/>
          <w:i/>
          <w:iCs/>
          <w:sz w:val="24"/>
          <w:szCs w:val="24"/>
        </w:rPr>
        <w:t>Σε περίπτωση συνδρομής λόγων αποκλεισμού των παρ. 1 και 4 του άρθρου 73, περί λόγων αποκλεισμού, που θέτουν σε αμφιβολία την αξιοπιστία και την ακεραιότητα οικονομικού φορέα, και εφόσον ο οικονομικός φορέας δεν λάβει τα μέτρα για να αποδείξει την αξιοπιστία του, όπως αυτά ορίζονται στην παρ. 7 του άρθρου 73, μπορεί να επιβληθεί εις βάρος του αποκλεισμός από τη συμμετοχή σε μελλοντικές διαδικασίες σύναψης δημόσιων συμβάσεων του παρόντος, καθώς και συμβάσεων παραχώρησης για εύλογο χρονικό διάστημα, σύμφωνα με τα ειδικότερα οριζόμενα στο παρόν άρθρο. Πριν από την έκδοση της απόφασης περί οριζόντιου αποκλεισμού παρέχεται στον οικονομικό φορέα η δυνατότητα ακρόασης. Οι όροι και η περίοδος του ως άνω αποκλεισμού καθορίζονται σύμφωνα με την αρχή της αναλογικότητας, λαμβάνοντας υπόψη, ιδίως, τη σοβαρότητα του αδικήματος ή παραπτώματος, τον χρόνο που έχει παρέλθει από τη διάπραξή του, τη διάρκειά του, πιθανή υποτροπή, την πρόθεση ή τον βαθμό αμέλειας του εκάστοτε οικονομικού φορέα και τα μέτρα που αυτός λαμβάνει προς αποφυγή διάπραξης παρόμοιων αδικημάτων ή παραπτωμάτων στο μέλλον.</w:t>
      </w:r>
    </w:p>
    <w:p w14:paraId="638647DA" w14:textId="77777777" w:rsidR="00D42794" w:rsidRPr="00BF3D42" w:rsidRDefault="00D42794" w:rsidP="00D42794">
      <w:pPr>
        <w:jc w:val="both"/>
        <w:rPr>
          <w:rFonts w:ascii="Times New Roman" w:hAnsi="Times New Roman" w:cs="Times New Roman"/>
          <w:b/>
          <w:bCs/>
          <w:i/>
          <w:iCs/>
          <w:sz w:val="24"/>
          <w:szCs w:val="24"/>
        </w:rPr>
      </w:pPr>
      <w:r w:rsidRPr="00BF3D42">
        <w:rPr>
          <w:rFonts w:ascii="Times New Roman" w:hAnsi="Times New Roman" w:cs="Times New Roman"/>
          <w:b/>
          <w:bCs/>
          <w:i/>
          <w:iCs/>
          <w:sz w:val="24"/>
          <w:szCs w:val="24"/>
        </w:rPr>
        <w:t>Γνώμη Α-45 ΕΑΑΔΗΣΥ:</w:t>
      </w:r>
    </w:p>
    <w:p w14:paraId="317F5BB9" w14:textId="77777777" w:rsidR="00D42794" w:rsidRDefault="00D42794" w:rsidP="00D42794">
      <w:pPr>
        <w:jc w:val="both"/>
        <w:rPr>
          <w:rFonts w:ascii="Times New Roman" w:hAnsi="Times New Roman" w:cs="Times New Roman"/>
          <w:sz w:val="24"/>
          <w:szCs w:val="24"/>
        </w:rPr>
      </w:pPr>
      <w:r>
        <w:rPr>
          <w:rFonts w:ascii="Times New Roman" w:hAnsi="Times New Roman" w:cs="Times New Roman"/>
          <w:sz w:val="24"/>
          <w:szCs w:val="24"/>
        </w:rPr>
        <w:t>Τ</w:t>
      </w:r>
      <w:r w:rsidRPr="00BF3D42">
        <w:rPr>
          <w:rFonts w:ascii="Times New Roman" w:hAnsi="Times New Roman" w:cs="Times New Roman"/>
          <w:sz w:val="24"/>
          <w:szCs w:val="24"/>
        </w:rPr>
        <w:t>ο σοβαρό ζήτημα που αφορά στη θέσπιση διοικητικών κυρώσεων στο πλαίσιο των δημοσίων συμβάσεων, με βαρύτατες οικονομικές συνέπειες σε βάρος των θιγόμενων οικονομικών φορέων, ορθώς ρυθμίζεται με εξουσιοδότηση για την έκδοση κανονιστικού προεδρικού διατάγματος  και μετά από επεξεργασία αυτού από το Συμβούλιο της Επικρατείας, εφόσον διαφαίνεται ότι ο κοινός νομοθέτης δεν είναι έτοιμος ακόμα να ρυθμίσει όλα τα κρίσιμα ζητήματα. Για τον ίδιο λόγο δεν προβλέπεται και προθεσμία για την έκδοση αυτή.</w:t>
      </w:r>
    </w:p>
    <w:p w14:paraId="7DEEA6C3" w14:textId="77777777" w:rsidR="00D42794" w:rsidRPr="00BF3D42" w:rsidRDefault="00D42794" w:rsidP="00D42794">
      <w:pPr>
        <w:pStyle w:val="Default"/>
        <w:jc w:val="both"/>
        <w:rPr>
          <w:rFonts w:ascii="Times New Roman" w:hAnsi="Times New Roman" w:cs="Times New Roman"/>
          <w:color w:val="auto"/>
        </w:rPr>
      </w:pPr>
      <w:r w:rsidRPr="00BF3D42">
        <w:rPr>
          <w:rFonts w:ascii="Times New Roman" w:hAnsi="Times New Roman" w:cs="Times New Roman"/>
          <w:color w:val="auto"/>
        </w:rPr>
        <w:t>Ιδίως έχει υποστηριχθεί ότι η απόφαση για τον αποκλεισμό ενός οικονομικού φορέα για λόγους που σχετίζονται με προηγούμενη εκτέλεση της σύμβασης, ανήκει στην αναθέτουσα αρχή, με αφορμή κάθε διαδικασία ανάθεσης σύμβασης,</w:t>
      </w:r>
      <w:r>
        <w:rPr>
          <w:rFonts w:ascii="Times New Roman" w:hAnsi="Times New Roman" w:cs="Times New Roman"/>
          <w:color w:val="auto"/>
        </w:rPr>
        <w:t xml:space="preserve"> </w:t>
      </w:r>
      <w:r w:rsidRPr="00BF3D42">
        <w:rPr>
          <w:rFonts w:ascii="Times New Roman" w:hAnsi="Times New Roman" w:cs="Times New Roman"/>
          <w:color w:val="auto"/>
        </w:rPr>
        <w:t>η οποία αποφασίζει κατά περίπτωση, επομένως η χρήση ενός επίσημου καταλόγου αυτόματων αποκλεισμών για λόγους που σχετίζονται με την εκτέλεση προηγούμενων συμβάσεων δεν επιτρέπεται βάσει της νομοθεσίας της ΕΕ</w:t>
      </w:r>
      <w:r>
        <w:rPr>
          <w:rStyle w:val="a4"/>
          <w:rFonts w:ascii="Times New Roman" w:hAnsi="Times New Roman" w:cs="Times New Roman"/>
          <w:color w:val="auto"/>
        </w:rPr>
        <w:footnoteReference w:id="1"/>
      </w:r>
      <w:r w:rsidRPr="00BF3D42">
        <w:rPr>
          <w:rFonts w:ascii="Times New Roman" w:hAnsi="Times New Roman" w:cs="Times New Roman"/>
          <w:color w:val="auto"/>
        </w:rPr>
        <w:t>.</w:t>
      </w:r>
    </w:p>
    <w:p w14:paraId="47808FE2" w14:textId="77777777" w:rsidR="00D42794" w:rsidRPr="00BF3D42" w:rsidRDefault="00D42794" w:rsidP="00D42794">
      <w:pPr>
        <w:pStyle w:val="Default"/>
        <w:jc w:val="both"/>
        <w:rPr>
          <w:rFonts w:ascii="Times New Roman" w:hAnsi="Times New Roman" w:cs="Times New Roman"/>
          <w:color w:val="auto"/>
        </w:rPr>
      </w:pPr>
      <w:r w:rsidRPr="00BF3D42">
        <w:rPr>
          <w:rFonts w:ascii="Times New Roman" w:hAnsi="Times New Roman" w:cs="Times New Roman"/>
          <w:color w:val="auto"/>
        </w:rPr>
        <w:t>Τα επιχειρήματα υπέρ της αρνητικής άποψης στηρίζονται στη μέχρι τώρα νομολογία του ΔΕΕ</w:t>
      </w:r>
      <w:r>
        <w:rPr>
          <w:rStyle w:val="a4"/>
          <w:rFonts w:ascii="Times New Roman" w:hAnsi="Times New Roman" w:cs="Times New Roman"/>
          <w:color w:val="auto"/>
        </w:rPr>
        <w:footnoteReference w:id="2"/>
      </w:r>
      <w:r w:rsidRPr="00BF3D42">
        <w:rPr>
          <w:rFonts w:ascii="Times New Roman" w:hAnsi="Times New Roman" w:cs="Times New Roman"/>
          <w:color w:val="auto"/>
        </w:rPr>
        <w:t xml:space="preserve">, το οποίο εξέτασε το συγκεκριμένο ζήτημα του κατά πόσον είναι επιτρεπτή </w:t>
      </w:r>
      <w:r w:rsidRPr="00BF3D42">
        <w:rPr>
          <w:rFonts w:ascii="Times New Roman" w:hAnsi="Times New Roman" w:cs="Times New Roman"/>
          <w:color w:val="auto"/>
        </w:rPr>
        <w:lastRenderedPageBreak/>
        <w:t xml:space="preserve">η εθνική νομοθεσία να απαιτεί από τις αναθέτουσες αρχές να αποκλείουν αυτομάτως τους οικονομικούς φορείς από την υποβολή προσφορών λόγω της κακής εκτέλεσης προηγούμενων συμβάσεων. Η ίδια άποψη υποστηρίζεται και για τους λοιπούς λόγους αποκλεισμού, υποχρεωτικούς (αν και με λιγότερα επιχειρήματα) ή δυνητικούς, καθώς παραμένουν ανοικτά ορισμένα ζητήματα που σχετίζονται με τις μαύρες λίστες, όπως είναι οι νομικές πτυχές της παροχής επαρκών και επίκαιρων αποδεικτικών στοιχείων για τη μαύρη λίστα ή η ύπαρξη </w:t>
      </w:r>
      <w:proofErr w:type="spellStart"/>
      <w:r w:rsidRPr="00BF3D42">
        <w:rPr>
          <w:rFonts w:ascii="Times New Roman" w:hAnsi="Times New Roman" w:cs="Times New Roman"/>
          <w:color w:val="auto"/>
        </w:rPr>
        <w:t>έννομηςπροστασίας</w:t>
      </w:r>
      <w:proofErr w:type="spellEnd"/>
      <w:r w:rsidRPr="00BF3D42">
        <w:rPr>
          <w:rFonts w:ascii="Times New Roman" w:hAnsi="Times New Roman" w:cs="Times New Roman"/>
          <w:color w:val="auto"/>
        </w:rPr>
        <w:t xml:space="preserve"> για τους οικονομικούς φορείς που περιλαμβάνονται σε αυτή, ζητήματα που απαιτούν προσεκτική αξιολόγηση67.  </w:t>
      </w:r>
    </w:p>
    <w:p w14:paraId="2A1CB37C" w14:textId="77777777" w:rsidR="00D42794" w:rsidRDefault="00D42794" w:rsidP="00D42794">
      <w:pPr>
        <w:jc w:val="both"/>
        <w:rPr>
          <w:rFonts w:ascii="Times New Roman" w:hAnsi="Times New Roman" w:cs="Times New Roman"/>
          <w:sz w:val="24"/>
          <w:szCs w:val="24"/>
        </w:rPr>
      </w:pPr>
      <w:proofErr w:type="spellStart"/>
      <w:r w:rsidRPr="00BF3D42">
        <w:rPr>
          <w:rFonts w:ascii="Times New Roman" w:hAnsi="Times New Roman" w:cs="Times New Roman"/>
          <w:sz w:val="24"/>
          <w:szCs w:val="24"/>
        </w:rPr>
        <w:t>Εξάλλου,τo</w:t>
      </w:r>
      <w:proofErr w:type="spellEnd"/>
      <w:r w:rsidRPr="00BF3D42">
        <w:rPr>
          <w:rFonts w:ascii="Times New Roman" w:hAnsi="Times New Roman" w:cs="Times New Roman"/>
          <w:sz w:val="24"/>
          <w:szCs w:val="24"/>
        </w:rPr>
        <w:t xml:space="preserve"> διοικητικό βάρος και η περιορισμένη ικανότητα για τη διεξαγωγή όλων των διοικητικών διαδικασιών που προηγούνται της απόφασης για την ε</w:t>
      </w:r>
      <w:bookmarkStart w:id="3" w:name="_GoBack"/>
      <w:bookmarkEnd w:id="3"/>
      <w:r w:rsidRPr="00BF3D42">
        <w:rPr>
          <w:rFonts w:ascii="Times New Roman" w:hAnsi="Times New Roman" w:cs="Times New Roman"/>
          <w:sz w:val="24"/>
          <w:szCs w:val="24"/>
        </w:rPr>
        <w:t>γγραφή ενός συγκεκριμένου οικονομικού φορέα στη μαύρη λίστα, σε συνδυασμό με τους νομικούς κινδύνους και τις προκλήσεις που συνδέονται με την εν λόγω απόφαση, εγείρουν σημαντικά ερωτήματα όσον αφορά τα θετικά αποτελέσματα της χρήσης μαύρων λιστών στα συστήματα δημοσίων συμβάσεων.</w:t>
      </w:r>
    </w:p>
    <w:p w14:paraId="2A1E627B" w14:textId="77777777" w:rsidR="00D42794" w:rsidRPr="005A564E" w:rsidRDefault="00D42794" w:rsidP="00D42794">
      <w:pPr>
        <w:jc w:val="both"/>
        <w:rPr>
          <w:rFonts w:ascii="Times New Roman" w:hAnsi="Times New Roman" w:cs="Times New Roman"/>
          <w:b/>
          <w:bCs/>
          <w:sz w:val="24"/>
          <w:szCs w:val="24"/>
        </w:rPr>
      </w:pPr>
      <w:r w:rsidRPr="005A564E">
        <w:rPr>
          <w:rFonts w:ascii="Times New Roman" w:hAnsi="Times New Roman" w:cs="Times New Roman"/>
          <w:b/>
          <w:bCs/>
          <w:sz w:val="24"/>
          <w:szCs w:val="24"/>
        </w:rPr>
        <w:t>Συμπερασματικά, για όλους τους πιο πάνω λόγους προτείνεται να διατηρηθεί το μέτρο της δημόσιας λίστας-μητρώου αποκλεισθέντων μόνο για τις περιπτώσεις που ο αποκλεισμός επιβάλλεται με δικαστική ή διοικητική απόφαση, ως παρεπόμενη συνέπεια αμετάκλητης ποινικής καταδίκης, ώστε να συνδεθεί η ευθύνη του φυσικού προσώπου με το νομικό πρόσωπο προς όφελος του οποίου διαπράχθηκε η παράνομη συμπεριφορά, δεδομένου ότι, όπως προαναφέρθηκε, στη δική μας έννομη τάξη δεν προβλέπεται ποινική ευθύνη νομικού προσώπου. Επιπλέον, να εξετασθεί το ενδεχόμενο να δημιουργηθούν μητρώα πληροφοριακού απλώς χαρακτήρα,</w:t>
      </w:r>
      <w:r>
        <w:rPr>
          <w:rFonts w:ascii="Times New Roman" w:hAnsi="Times New Roman" w:cs="Times New Roman"/>
          <w:b/>
          <w:bCs/>
          <w:sz w:val="24"/>
          <w:szCs w:val="24"/>
        </w:rPr>
        <w:t xml:space="preserve"> </w:t>
      </w:r>
      <w:r w:rsidRPr="005A564E">
        <w:rPr>
          <w:rFonts w:ascii="Times New Roman" w:hAnsi="Times New Roman" w:cs="Times New Roman"/>
          <w:b/>
          <w:bCs/>
          <w:sz w:val="24"/>
          <w:szCs w:val="24"/>
        </w:rPr>
        <w:t xml:space="preserve">για ορισμένες μόνο από τις καταστάσεις που μπορεί να εμπίπτουν στους δυνητικούς λόγους αποκλεισμού, όπως η περ. γ της παρ. 4 του άρθρου 73 [κυρώσεις εκ μέρους της Επιτροπής Ανταγωνισμού για συμφωνίες με άλλους οικονομικούς φορείς με στόχο τη στρέβλωση του ανταγωνισμού],καθώς και της περ </w:t>
      </w:r>
      <w:proofErr w:type="spellStart"/>
      <w:r w:rsidRPr="005A564E">
        <w:rPr>
          <w:rFonts w:ascii="Times New Roman" w:hAnsi="Times New Roman" w:cs="Times New Roman"/>
          <w:b/>
          <w:bCs/>
          <w:sz w:val="24"/>
          <w:szCs w:val="24"/>
        </w:rPr>
        <w:t>στ</w:t>
      </w:r>
      <w:proofErr w:type="spellEnd"/>
      <w:r w:rsidRPr="005A564E">
        <w:rPr>
          <w:rFonts w:ascii="Times New Roman" w:hAnsi="Times New Roman" w:cs="Times New Roman"/>
          <w:b/>
          <w:bCs/>
          <w:sz w:val="24"/>
          <w:szCs w:val="24"/>
        </w:rPr>
        <w:t>) της παρ. 4 του ίδιου άρθρου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4D05ABF8" w14:textId="09ED852E" w:rsidR="00BF3D42" w:rsidRPr="009764FE" w:rsidRDefault="00BF3D42" w:rsidP="00D42794">
      <w:pPr>
        <w:jc w:val="both"/>
        <w:rPr>
          <w:rFonts w:ascii="Times New Roman" w:hAnsi="Times New Roman" w:cs="Times New Roman"/>
          <w:sz w:val="24"/>
          <w:szCs w:val="24"/>
        </w:rPr>
      </w:pPr>
    </w:p>
    <w:sectPr w:rsidR="00BF3D42" w:rsidRPr="009764F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7A6A1" w14:textId="77777777" w:rsidR="00BF3D42" w:rsidRDefault="00BF3D42" w:rsidP="00BF3D42">
      <w:pPr>
        <w:spacing w:after="0" w:line="240" w:lineRule="auto"/>
      </w:pPr>
      <w:r>
        <w:separator/>
      </w:r>
    </w:p>
  </w:endnote>
  <w:endnote w:type="continuationSeparator" w:id="0">
    <w:p w14:paraId="52AA3F6F" w14:textId="77777777" w:rsidR="00BF3D42" w:rsidRDefault="00BF3D42" w:rsidP="00BF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8D5E5" w14:textId="77777777" w:rsidR="00BF3D42" w:rsidRDefault="00BF3D42" w:rsidP="00BF3D42">
      <w:pPr>
        <w:spacing w:after="0" w:line="240" w:lineRule="auto"/>
      </w:pPr>
      <w:r>
        <w:separator/>
      </w:r>
    </w:p>
  </w:footnote>
  <w:footnote w:type="continuationSeparator" w:id="0">
    <w:p w14:paraId="5C9255F3" w14:textId="77777777" w:rsidR="00BF3D42" w:rsidRDefault="00BF3D42" w:rsidP="00BF3D42">
      <w:pPr>
        <w:spacing w:after="0" w:line="240" w:lineRule="auto"/>
      </w:pPr>
      <w:r>
        <w:continuationSeparator/>
      </w:r>
    </w:p>
  </w:footnote>
  <w:footnote w:id="1">
    <w:p w14:paraId="6AB4D8A1" w14:textId="77777777" w:rsidR="00D42794" w:rsidRPr="005B722A" w:rsidRDefault="00D42794" w:rsidP="00D42794">
      <w:pPr>
        <w:pStyle w:val="a3"/>
        <w:jc w:val="both"/>
      </w:pPr>
      <w:r w:rsidRPr="005B722A">
        <w:rPr>
          <w:rFonts w:ascii="Times New Roman" w:hAnsi="Times New Roman" w:cs="Times New Roman"/>
        </w:rPr>
        <w:footnoteRef/>
      </w:r>
      <w:r w:rsidRPr="005B722A">
        <w:rPr>
          <w:rFonts w:ascii="Times New Roman" w:hAnsi="Times New Roman" w:cs="Times New Roman"/>
        </w:rPr>
        <w:t xml:space="preserve"> Κατά την ίδια άποψη είναι δυνατή όμως η τήρηση ενός κεντρικού μητρώου που θα παρέχει ενημέρωση σχετικά με τις επιδόσεις των οικονομικών φορέων στις δημόσιες συμβάσεις, αλλά θα πρέπει να χρησιμοποιείται μόνο ως πηγή πληροφοριών.</w:t>
      </w:r>
    </w:p>
  </w:footnote>
  <w:footnote w:id="2">
    <w:p w14:paraId="36E7916C" w14:textId="77777777" w:rsidR="00D42794" w:rsidRPr="005B722A" w:rsidRDefault="00D42794" w:rsidP="00D42794">
      <w:pPr>
        <w:pStyle w:val="a3"/>
        <w:jc w:val="both"/>
      </w:pPr>
      <w:r w:rsidRPr="005B722A">
        <w:rPr>
          <w:rFonts w:ascii="Times New Roman" w:hAnsi="Times New Roman" w:cs="Times New Roman"/>
        </w:rPr>
        <w:footnoteRef/>
      </w:r>
      <w:r w:rsidRPr="005B722A">
        <w:rPr>
          <w:rFonts w:ascii="Times New Roman" w:hAnsi="Times New Roman" w:cs="Times New Roman"/>
        </w:rPr>
        <w:t xml:space="preserve"> </w:t>
      </w:r>
      <w:r w:rsidRPr="005B722A">
        <w:rPr>
          <w:rFonts w:ascii="Times New Roman" w:hAnsi="Times New Roman" w:cs="Times New Roman"/>
        </w:rPr>
        <w:t xml:space="preserve">Απόφαση του Δικαστηρίου της 13ης Δεκεμβρίου 2012, υπόθεσηC-465/11, </w:t>
      </w:r>
      <w:proofErr w:type="spellStart"/>
      <w:r w:rsidRPr="005B722A">
        <w:rPr>
          <w:rFonts w:ascii="Times New Roman" w:hAnsi="Times New Roman" w:cs="Times New Roman"/>
        </w:rPr>
        <w:t>Forposta</w:t>
      </w:r>
      <w:proofErr w:type="spellEnd"/>
      <w:r w:rsidRPr="005B722A">
        <w:rPr>
          <w:rFonts w:ascii="Times New Roman" w:hAnsi="Times New Roman" w:cs="Times New Roman"/>
        </w:rPr>
        <w:t xml:space="preserve">, Ψηφιακή συλλογή (Συλλογή νομολογίας του Δικαστηρίου -Γενική συλλογή). </w:t>
      </w:r>
      <w:proofErr w:type="spellStart"/>
      <w:r w:rsidRPr="005B722A">
        <w:rPr>
          <w:rFonts w:ascii="Times New Roman" w:hAnsi="Times New Roman" w:cs="Times New Roman"/>
        </w:rPr>
        <w:t>Απότην</w:t>
      </w:r>
      <w:proofErr w:type="spellEnd"/>
      <w:r w:rsidRPr="005B722A">
        <w:rPr>
          <w:rFonts w:ascii="Times New Roman" w:hAnsi="Times New Roman" w:cs="Times New Roman"/>
        </w:rPr>
        <w:t xml:space="preserve"> άποψη αυτή, το ΔΕΕ εξέτασε τη συμμόρφωση της πολωνικής νομοθεσίας  προς την τότε ισχύουσα οδηγία του 2004/18/ΕΚ, η οποία ρύθμιζε ειδικά την περίπτωση του σοβαρού επαγγελματικού παραπτώματος , αλλά όχι και τις ανεπαρκείς συμβατικές επιδόσεις, οπότε εξέτασε την περίπτωση αυτή κατά την ευρύτερη έννοια του “σοβαρού επαγγελματικού παραπτώματος του οικονομικού φορέα σε σχέση με την επαγγελματική του ιδιότητα”, όπως προβλεπόταν στο άρθρο  45 παρ. 2 </w:t>
      </w:r>
      <w:proofErr w:type="spellStart"/>
      <w:r w:rsidRPr="005B722A">
        <w:rPr>
          <w:rFonts w:ascii="Times New Roman" w:hAnsi="Times New Roman" w:cs="Times New Roman"/>
        </w:rPr>
        <w:t>στοιχ</w:t>
      </w:r>
      <w:proofErr w:type="spellEnd"/>
      <w:r w:rsidRPr="005B722A">
        <w:rPr>
          <w:rFonts w:ascii="Times New Roman" w:hAnsi="Times New Roman" w:cs="Times New Roman"/>
        </w:rPr>
        <w:t>. δ΄ της Οδηγίας 2004. Επομένως, το Δικαστήριο έκρινε ότι η μη τήρηση από οικονομικό φορέα των συμβατικών του υποχρεώσεων μπορεί, καταρχήν, να θεωρηθεί ως επαγγελματικό παράπτωμα, ωστόσο, εμβαθύνοντας περισσότερο στην έννοια του “σοβαρού παραπτώματος”, κατέληξε ότι  απαιτείται να πραγματοποιείται συγκεκριμένη εκτίμηση και να εξατομικεύεται η στάση του οικείου οικονομικού φορέα κάθε φορά, ως προς τη φύση και τη σοβαρότητα της παράβασης.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91"/>
    <w:rsid w:val="00143754"/>
    <w:rsid w:val="00341191"/>
    <w:rsid w:val="00402C8A"/>
    <w:rsid w:val="004217B6"/>
    <w:rsid w:val="0047374D"/>
    <w:rsid w:val="0060467C"/>
    <w:rsid w:val="009764FE"/>
    <w:rsid w:val="00AF1602"/>
    <w:rsid w:val="00B579CE"/>
    <w:rsid w:val="00BF3D42"/>
    <w:rsid w:val="00D42794"/>
    <w:rsid w:val="00E354E8"/>
    <w:rsid w:val="00EB1D81"/>
    <w:rsid w:val="00EC49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78AF"/>
  <w15:chartTrackingRefBased/>
  <w15:docId w15:val="{DC34B603-8401-47F8-A287-89652E9F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D42"/>
    <w:pPr>
      <w:autoSpaceDE w:val="0"/>
      <w:autoSpaceDN w:val="0"/>
      <w:adjustRightInd w:val="0"/>
      <w:spacing w:after="0" w:line="240" w:lineRule="auto"/>
    </w:pPr>
    <w:rPr>
      <w:rFonts w:ascii="Calibri" w:hAnsi="Calibri" w:cs="Calibri"/>
      <w:color w:val="000000"/>
      <w:sz w:val="24"/>
      <w:szCs w:val="24"/>
    </w:rPr>
  </w:style>
  <w:style w:type="paragraph" w:styleId="a3">
    <w:name w:val="footnote text"/>
    <w:basedOn w:val="a"/>
    <w:link w:val="Char"/>
    <w:uiPriority w:val="99"/>
    <w:semiHidden/>
    <w:unhideWhenUsed/>
    <w:rsid w:val="00BF3D42"/>
    <w:pPr>
      <w:spacing w:after="0" w:line="240" w:lineRule="auto"/>
    </w:pPr>
    <w:rPr>
      <w:sz w:val="20"/>
      <w:szCs w:val="20"/>
    </w:rPr>
  </w:style>
  <w:style w:type="character" w:customStyle="1" w:styleId="Char">
    <w:name w:val="Κείμενο υποσημείωσης Char"/>
    <w:basedOn w:val="a0"/>
    <w:link w:val="a3"/>
    <w:uiPriority w:val="99"/>
    <w:semiHidden/>
    <w:rsid w:val="00BF3D42"/>
    <w:rPr>
      <w:sz w:val="20"/>
      <w:szCs w:val="20"/>
    </w:rPr>
  </w:style>
  <w:style w:type="character" w:styleId="a4">
    <w:name w:val="footnote reference"/>
    <w:basedOn w:val="a0"/>
    <w:uiPriority w:val="99"/>
    <w:semiHidden/>
    <w:unhideWhenUsed/>
    <w:rsid w:val="00BF3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7EFDE-36EB-40F7-94AD-94FAEBE3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1100</Words>
  <Characters>5943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6</cp:revision>
  <dcterms:created xsi:type="dcterms:W3CDTF">2023-10-26T14:38:00Z</dcterms:created>
  <dcterms:modified xsi:type="dcterms:W3CDTF">2025-03-21T17:30:00Z</dcterms:modified>
</cp:coreProperties>
</file>