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1A226" w14:textId="2CDBF747" w:rsidR="00484E03" w:rsidRDefault="00484E03" w:rsidP="00065D6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84E0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ΘΕΜΑ: 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Απαίτηση εκπόνησης και εφαρμογής Προγράμματος Ποιότητας Έργου</w:t>
      </w:r>
    </w:p>
    <w:p w14:paraId="74C6C0A9" w14:textId="5381D9B1" w:rsidR="00484E03" w:rsidRPr="00907DB3" w:rsidRDefault="00484E03" w:rsidP="00484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υποβολής </w:t>
      </w:r>
      <w:r w:rsidRPr="00907D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28/06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/2024</w:t>
      </w:r>
    </w:p>
    <w:p w14:paraId="0DAA3078" w14:textId="77777777" w:rsidR="00484E03" w:rsidRPr="00484E03" w:rsidRDefault="00484E03" w:rsidP="00065D6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4F77BE1D" w14:textId="3A4E5717" w:rsidR="00967B8A" w:rsidRPr="00484E03" w:rsidRDefault="00484E03" w:rsidP="00967B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Ερώτηση</w:t>
      </w:r>
      <w:r w:rsidRPr="00484E0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="00967B8A" w:rsidRPr="00967B8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Καλησπέρα σας.</w:t>
      </w:r>
      <w:r w:rsidR="00967B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Πότε απαιτείται η εκπόνηση και εφαρμογή Προγράμματος Ποιότητας σε εκτελούμενο Έργο</w:t>
      </w:r>
      <w:r w:rsidR="00967B8A">
        <w:rPr>
          <w:rFonts w:ascii="Times New Roman" w:eastAsia="Times New Roman" w:hAnsi="Times New Roman" w:cs="Times New Roman"/>
          <w:sz w:val="24"/>
          <w:szCs w:val="24"/>
          <w:lang w:eastAsia="el-GR"/>
        </w:rPr>
        <w:t>. Συγκεκριμένα σ</w:t>
      </w:r>
      <w:r w:rsidR="00967B8A" w:rsidRPr="00967B8A">
        <w:rPr>
          <w:rFonts w:ascii="Times New Roman" w:eastAsia="Times New Roman" w:hAnsi="Times New Roman" w:cs="Times New Roman"/>
          <w:sz w:val="24"/>
          <w:szCs w:val="24"/>
          <w:lang w:eastAsia="el-GR"/>
        </w:rPr>
        <w:t>χετικά με το άρθρο 158 του Ν. 4412/16 που αφορά ΠΠΕ:</w:t>
      </w:r>
      <w:r w:rsidR="00967B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67B8A" w:rsidRPr="00967B8A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σύνταξή του απαιτείται μόνο για τα έργα με προϋπολογισμό άνω του 1.500.000 € ή και τα συγχρηματοδοτούμενα ανεξαρτήτου ποσού; (βλ. παρ. 3 άρθρο 158 Ν. 4412/16)</w:t>
      </w:r>
      <w:r w:rsidR="00967B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967B8A" w:rsidRPr="00967B8A">
        <w:rPr>
          <w:rFonts w:ascii="Times New Roman" w:eastAsia="Times New Roman" w:hAnsi="Times New Roman" w:cs="Times New Roman"/>
          <w:sz w:val="24"/>
          <w:szCs w:val="24"/>
          <w:lang w:eastAsia="el-GR"/>
        </w:rPr>
        <w:t>Ευχαριστώ εκ των προτέρων.</w:t>
      </w:r>
    </w:p>
    <w:p w14:paraId="14A7B29D" w14:textId="0710DC31" w:rsidR="00065D6C" w:rsidRPr="00484E03" w:rsidRDefault="00065D6C" w:rsidP="00065D6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484E0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Απάντηση </w:t>
      </w:r>
    </w:p>
    <w:p w14:paraId="0D517690" w14:textId="1D01410A" w:rsidR="00065D6C" w:rsidRPr="00484E03" w:rsidRDefault="00975A8C" w:rsidP="00975A8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484E0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Η </w:t>
      </w:r>
      <w:r w:rsidRPr="00484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μόνη διάταξη που αφορά στην </w:t>
      </w:r>
      <w:r w:rsidR="00FD4AB9" w:rsidRPr="00484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απαίτηση εκπόνησης και εφαρμογής Προγράμματος Ποιότητας Έργου</w:t>
      </w:r>
      <w:r w:rsidR="00FD4AB9" w:rsidRPr="00484E0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στα</w:t>
      </w:r>
      <w:r w:rsidR="00FD4AB9" w:rsidRPr="00484E03">
        <w:rPr>
          <w:sz w:val="24"/>
          <w:szCs w:val="24"/>
          <w:u w:val="single"/>
        </w:rPr>
        <w:t xml:space="preserve"> </w:t>
      </w:r>
      <w:r w:rsidR="00FD4AB9" w:rsidRPr="00484E0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Δημόσια έργα</w:t>
      </w:r>
      <w:r w:rsidRPr="00484E0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είναι αυτή του </w:t>
      </w:r>
      <w:proofErr w:type="spellStart"/>
      <w:r w:rsidRPr="00484E0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α΄εδαφ</w:t>
      </w:r>
      <w:proofErr w:type="spellEnd"/>
      <w:r w:rsidRPr="00484E0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. Παρ. 2</w:t>
      </w:r>
      <w:r w:rsidRPr="00484E03">
        <w:rPr>
          <w:sz w:val="24"/>
          <w:szCs w:val="24"/>
        </w:rPr>
        <w:t xml:space="preserve"> </w:t>
      </w:r>
      <w:r w:rsidRPr="00484E0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του άρθρου 158 του Ν. 4412/16</w:t>
      </w:r>
      <w:r w:rsidRPr="00484E03">
        <w:rPr>
          <w:sz w:val="24"/>
          <w:szCs w:val="24"/>
        </w:rPr>
        <w:t xml:space="preserve"> </w:t>
      </w:r>
      <w:r w:rsidRPr="00484E03">
        <w:rPr>
          <w:i/>
          <w:sz w:val="24"/>
          <w:szCs w:val="24"/>
        </w:rPr>
        <w:t>(«</w:t>
      </w:r>
      <w:r w:rsidRPr="00484E0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Ποιότητα στα δημόσια έργα - Πρόγραμμα Ποιότητας Έργου (Π.Π.Ε.)»)</w:t>
      </w:r>
      <w:r w:rsidR="00FD4AB9" w:rsidRPr="00484E0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:</w:t>
      </w:r>
      <w:r w:rsidR="00FD4AB9" w:rsidRPr="00484E03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 xml:space="preserve"> </w:t>
      </w:r>
    </w:p>
    <w:p w14:paraId="2EEE1CE4" w14:textId="3DB27F3D" w:rsidR="00065D6C" w:rsidRPr="00484E03" w:rsidRDefault="00975A8C" w:rsidP="00065D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FD4AB9"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εκπόνηση και εφαρμογή Προγράμματος Ποιότητας Έργου 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(ΠΠΕ) </w:t>
      </w:r>
      <w:r w:rsidR="00FD4AB9"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απαιτείται σε κάθε Δημόσιο έργο (Κατασκευή ή και Μελέτη), του οποίου ο προϋπολογισμός δημοπράτησης, υπερβαίνει το ποσό 1.500.000 ευρώ χωρίς ΦΠΑ, σ</w:t>
      </w:r>
      <w:r w:rsidR="00065D6C"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ύμφωνα με την παρ.2 Άρθρου 158 Ν. 4412/2016 </w:t>
      </w:r>
      <w:r w:rsidR="00065D6C" w:rsidRPr="00484E0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(«Ποιότητα στα δημόσια έργα - Πρόγραμμα Ποιότητας Έργου (Π.Π.Ε.)»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Οι οδηγίες σχετικά με την εκπόνηση και εφαρμογή του ΠΠΕ αναλύονται διεξοδικά στις </w:t>
      </w:r>
      <w:r w:rsidR="00065D6C"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διατάξεις των αποφάσεων ΔΕΕΠ/οικ.502/13.10.2000 (Β` 1265), ΔΙΠΑΔ/οικ. 611/24.7.2001 (Β` 1013 ), ΔΙΠΑΔ/οικ.501/1.7.2003 (Β` 928) του Υφυπουργού Περιβάλλοντος, Χωροταξίας και Δημόσιων 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Έργων</w:t>
      </w:r>
      <w:r w:rsidR="00065D6C"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7B25DDC7" w14:textId="389D1011" w:rsidR="00FD4AB9" w:rsidRPr="00484E03" w:rsidRDefault="00975A8C" w:rsidP="00065D6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Στην διάταξη του </w:t>
      </w:r>
      <w:proofErr w:type="spellStart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α΄εδαφ</w:t>
      </w:r>
      <w:proofErr w:type="spellEnd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Παρ. 2 του άρθρου 158 του Ν. 4412/16 υπάρχει η πρόβλεψη διενέργειας Ποιοτικών </w:t>
      </w:r>
      <w:proofErr w:type="spellStart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ελέγχνων</w:t>
      </w:r>
      <w:proofErr w:type="spellEnd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</w:t>
      </w:r>
      <w:proofErr w:type="spellStart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κατασκευαζόμενων</w:t>
      </w:r>
      <w:proofErr w:type="spellEnd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έργων και από ειδικό Σύμβουλο </w:t>
      </w:r>
      <w:r w:rsidR="00460709"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(Ε.ΣΠ.ΕΛ.) 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προσλαμβάνεται με απόφαση του Υπουργού Οικονομίας και Οικονομικών ύστερα από σχετικό διαγωνισμό</w:t>
      </w:r>
      <w:r w:rsidR="00460709"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(Αφορά Στα εκτελούμενα δημόσια έργα, που συγχρηματοδοτούνται από πόρους της Ευρωπαϊκής Ένωσης).</w:t>
      </w:r>
    </w:p>
    <w:p w14:paraId="30E46C1A" w14:textId="61399C4B" w:rsidR="00460709" w:rsidRPr="00484E03" w:rsidRDefault="00460709" w:rsidP="004607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Περισσότερα στο </w:t>
      </w:r>
      <w:r w:rsidRPr="00484E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site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proofErr w:type="spellStart"/>
      <w:r w:rsidRPr="00484E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Dimosies</w:t>
      </w:r>
      <w:proofErr w:type="spellEnd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Pr="00484E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Symvaseis</w:t>
      </w:r>
      <w:proofErr w:type="spellEnd"/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484E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gr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, και συγκεκριμένα στο </w:t>
      </w:r>
      <w:r w:rsidRPr="00484E03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link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hyperlink r:id="rId4" w:history="1">
        <w:r w:rsidRPr="00484E0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https://dimosies-symvaseis.gr/index.php/ektelesi-epivlepsi-ergon/648-kefalaio-th-poiotita-dimosion-ergon/z-3-programma-poiotitas-ergou-p-p-e</w:t>
        </w:r>
      </w:hyperlink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5A4DE505" w14:textId="66FE29FE" w:rsidR="00FD4AB9" w:rsidRPr="00484E03" w:rsidRDefault="00460709" w:rsidP="0046070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4E03">
        <w:rPr>
          <w:rFonts w:ascii="Cambria Math" w:eastAsia="Times New Roman" w:hAnsi="Cambria Math" w:cs="Cambria Math"/>
          <w:sz w:val="24"/>
          <w:szCs w:val="24"/>
          <w:lang w:val="en-US" w:eastAsia="el-GR"/>
        </w:rPr>
        <w:t>⦁</w:t>
      </w:r>
      <w:r w:rsidRPr="00484E0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ΕΚΤΕΛΕΣΗ &amp; ΕΠΙΒΛΕΨΗ ΕΡΓΩΝ / ΚΕΦΑΛΑΙΟ Ζ΄. ΠΟΙΟΤΗΤΑ ΔΗΜΟΣΙΩΝ ΕΡΓΩΝ / Ζ.3 Πρόγραμμα Ποιότητας Έργου (Π.Π.Ε.)</w:t>
      </w:r>
    </w:p>
    <w:sectPr w:rsidR="00FD4AB9" w:rsidRPr="00484E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40"/>
    <w:rsid w:val="00065D6C"/>
    <w:rsid w:val="00172A40"/>
    <w:rsid w:val="00227C26"/>
    <w:rsid w:val="00460709"/>
    <w:rsid w:val="00484E03"/>
    <w:rsid w:val="00967B8A"/>
    <w:rsid w:val="00975A8C"/>
    <w:rsid w:val="00C145F1"/>
    <w:rsid w:val="00E10121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5B5C"/>
  <w15:chartTrackingRefBased/>
  <w15:docId w15:val="{CE9F0BC1-5C7A-4DBA-AC4A-4F5671B6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60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06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82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183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6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6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06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7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90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mosies-symvaseis.gr/index.php/ektelesi-epivlepsi-ergon/648-kefalaio-th-poiotita-dimosion-ergon/z-3-programma-poiotitas-ergou-p-p-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Παπασταμάτης</dc:creator>
  <cp:keywords/>
  <dc:description/>
  <cp:lastModifiedBy>User</cp:lastModifiedBy>
  <cp:revision>3</cp:revision>
  <dcterms:created xsi:type="dcterms:W3CDTF">2025-03-20T15:51:00Z</dcterms:created>
  <dcterms:modified xsi:type="dcterms:W3CDTF">2025-03-20T15:53:00Z</dcterms:modified>
</cp:coreProperties>
</file>