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2626" w14:textId="62BB990E" w:rsidR="009C2035" w:rsidRPr="00D925EF" w:rsidRDefault="00D925EF" w:rsidP="009C203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ΘΕΜΑ : ΕΔ</w:t>
      </w:r>
      <w:r w:rsidR="009C2035"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έργων</w:t>
      </w:r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Π-Υ</w:t>
      </w:r>
      <w:r w:rsidR="009C2035"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άνω του </w:t>
      </w:r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1.000.000 ευρώ</w:t>
      </w:r>
    </w:p>
    <w:p w14:paraId="28207173" w14:textId="788A7049" w:rsidR="009C2035" w:rsidRPr="00D925EF" w:rsidRDefault="009C2035" w:rsidP="009C203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>Ημ</w:t>
      </w:r>
      <w:proofErr w:type="spellEnd"/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>νία</w:t>
      </w:r>
      <w:proofErr w:type="spellEnd"/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υποβολής </w:t>
      </w:r>
      <w:r w:rsidRPr="00D925EF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12/04/2021</w:t>
      </w:r>
    </w:p>
    <w:p w14:paraId="49D0F807" w14:textId="77777777" w:rsidR="009C2035" w:rsidRPr="00D925EF" w:rsidRDefault="009C2035" w:rsidP="009C203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161D93C" w14:textId="578795B4" w:rsidR="009C2035" w:rsidRPr="00D925EF" w:rsidRDefault="009C2035" w:rsidP="009C203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Ερώτηση : </w:t>
      </w:r>
    </w:p>
    <w:p w14:paraId="4C9A5455" w14:textId="77777777" w:rsidR="002E3AD8" w:rsidRPr="00D925EF" w:rsidRDefault="009C2035" w:rsidP="009C203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Σχετικά με το άρθρο 221 του 4412/16 παρ. 8α για τις επιτροπές διαγωνισμού των δημοσίων συμβάσεων έργων, σας παραθέτουμε το εξής ερώτημα, </w:t>
      </w:r>
    </w:p>
    <w:p w14:paraId="0297031F" w14:textId="77777777" w:rsidR="002E3AD8" w:rsidRPr="00D925EF" w:rsidRDefault="009C2035" w:rsidP="009C203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Για τις επιτροπές διαγωνισμού για έργα πάνω από ένα εκατομμύριο, όταν δεν επαρκούν οι τεχνικοί υπάλληλοι του Φορέα, μπορεί ο Φορέας να αιτηθεί την υπόδειξη ορισμού μελών από το Δημόσιο, αυτό σημαίνει πως μπορεί ένας Δήμος να ζητήσει να οριστούν μέλη στην επιτροπή από την οικεία Τεχνική Υπηρεσία της Περιφέρειας; </w:t>
      </w:r>
    </w:p>
    <w:p w14:paraId="51D7BE18" w14:textId="7448FF52" w:rsidR="009C2035" w:rsidRPr="00D925EF" w:rsidRDefault="009C2035" w:rsidP="009C203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>Σε αυτή την περίπτωση διευκρινίζεται ότι τα μέλη αυτά είναι εγγεγραμμένα « στο μητρώο της περ. η’ της παρούσας», για ποιο μητρώο πρόκειται;</w:t>
      </w:r>
    </w:p>
    <w:p w14:paraId="39AC65B6" w14:textId="77777777" w:rsidR="00D925EF" w:rsidRDefault="00D925EF" w:rsidP="009C203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9774351" w14:textId="53172327" w:rsidR="00777A69" w:rsidRPr="00D925EF" w:rsidRDefault="00777A69" w:rsidP="009C203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Απάντηση : </w:t>
      </w:r>
    </w:p>
    <w:p w14:paraId="334BB3DB" w14:textId="70E8AE65" w:rsidR="006B7266" w:rsidRPr="00D925EF" w:rsidRDefault="006B7266" w:rsidP="009C2035">
      <w:pPr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Επιτροπές Διαγωνισμού Δημοσίων συμβάσεων Έργων της παρ. 8</w:t>
      </w:r>
      <w:r w:rsidRPr="00D925EF">
        <w:rPr>
          <w:rFonts w:ascii="Times New Roman" w:eastAsia="SimSun" w:hAnsi="Times New Roman" w:cs="Times New Roman"/>
          <w:b/>
          <w:bCs/>
          <w:sz w:val="24"/>
          <w:szCs w:val="24"/>
          <w:u w:val="single"/>
          <w:vertAlign w:val="superscript"/>
          <w:lang w:eastAsia="zh-CN"/>
        </w:rPr>
        <w:t>α</w:t>
      </w:r>
      <w:r w:rsidRPr="00D925E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του Άρθρου 221 του 4412/16 </w:t>
      </w: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:</w:t>
      </w:r>
      <w:r w:rsidRPr="00D925E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1C583032" w14:textId="10F008CE" w:rsidR="006B7266" w:rsidRPr="00D925EF" w:rsidRDefault="006B7266" w:rsidP="009C2035">
      <w:pPr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«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Με την τροποποίηση, </w:t>
      </w: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η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επιτροπή διαγωνισμού αποτελείται από τρεις (3) τεχνικούς υπαλλήλους, κατηγορίας ΠΕ ή TE, με τους αναπληρωτές τους, οι οποίοι διαθέτουν εμπειρία, τεχνική εξειδίκευση τους και ειδικότητα που προσιδιάζει στην υπό ανάθεση κατηγορίες εργασιών, υπηρετούν στην αναθέτουσα αρχή και μόνον κατ’</w:t>
      </w:r>
      <w:r w:rsidR="00736269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εξαίρεση, εάν δεν επαρκούν οι υπάλληλοί της, η αναθέτουσα αρχή δύναται να αιτηθεί την υπόδειξη ορισμού μελών από το δημόσιο ή φορείς του ευρύτερου δημόσιου τομέα, εγγεγραμμένους στο μητρώο της περίπτωσης η’ της υπό τροποποίηση παραγράφου</w:t>
      </w:r>
      <w:r w:rsidR="00AF1D65"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(ήδη δια της υπό εξέταση τροποποίησης, περίπτωσης ζ’</w:t>
      </w:r>
      <w:r w:rsidR="00777A69"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  <w:r w:rsidR="00777A69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(</w:t>
      </w:r>
      <w:r w:rsidR="00777A69" w:rsidRPr="00D925E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Γνώμη Α-45 ΕΑΑΔΗΣΥ</w:t>
      </w:r>
      <w:r w:rsidR="00AF1D65"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), 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είτε να προσφύγει στη διενέργεια κλήρωσης μεταξύ των εγγεγραμμένων στο </w:t>
      </w:r>
      <w:proofErr w:type="spellStart"/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Μη.Μ.Ε.Δ</w:t>
      </w:r>
      <w:proofErr w:type="spellEnd"/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.</w:t>
      </w:r>
    </w:p>
    <w:p w14:paraId="28812ECD" w14:textId="7FC9269E" w:rsidR="00AF1D65" w:rsidRPr="00D925EF" w:rsidRDefault="00736269" w:rsidP="009C2035">
      <w:pPr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Συνεπώς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οι ως άνω τεχνικοί υπάλληλοι της αναθέτουσας αρχής δεν επιλέγονται με κλήρωση, αλλά </w:t>
      </w:r>
      <w:r w:rsidR="00AF1D65" w:rsidRPr="00D925E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με ορισμό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μεταξύ των υπηρετούντων στην αναθέτουσα αρχή</w:t>
      </w:r>
      <w:r w:rsidR="006B7266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»</w:t>
      </w:r>
      <w:r w:rsidR="00AF1D65"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.</w:t>
      </w:r>
    </w:p>
    <w:p w14:paraId="7E3DB9B0" w14:textId="77777777" w:rsidR="006B7266" w:rsidRPr="00D925EF" w:rsidRDefault="006B7266" w:rsidP="006B7266">
      <w:pPr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Απάντηση στο α’ ερώτημα :  </w:t>
      </w:r>
    </w:p>
    <w:p w14:paraId="2D47D63A" w14:textId="312628F8" w:rsidR="006B7266" w:rsidRPr="00D925EF" w:rsidRDefault="006B7266" w:rsidP="006B7266">
      <w:pPr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Το δημόσιο ή οι φορείς του ευρύτερου δημόσιου τομέα από τους οποίους η αναθέτουσα αρχή δύναται να αιτηθεί την υπόδειξη ορισμού μελών αφορούν στην περ. (στ’) του Άρθρου 14 του Ν. 4270/2014 (</w:t>
      </w:r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«Αρχές </w:t>
      </w:r>
      <w:proofErr w:type="spellStart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δημοσ</w:t>
      </w:r>
      <w:proofErr w:type="spellEnd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/</w:t>
      </w:r>
      <w:proofErr w:type="spellStart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ικής</w:t>
      </w:r>
      <w:proofErr w:type="spellEnd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διαχείρισης κλπ.»),</w:t>
      </w: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ήτοι</w:t>
      </w:r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«</w:t>
      </w:r>
      <w:proofErr w:type="spellStart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στ</w:t>
      </w:r>
      <w:proofErr w:type="spellEnd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 Κεντρική Διοίκηση ή Δημόσιο ή Κράτος: περιλαμβάνει την Προεδρία της Δημοκρατίας, τα Υπουργεία και τις Αποκεντρωμένες Διοικήσεις, καθώς και τις Ανεξάρτητες Αρχές που δεν έχουν νομική προσωπικότητα. Για λόγους στατιστικής ταξινόμησης, η Βουλή των Ελλήνων περιλαμβάνεται και αυτή στην Κεντρική Διοίκηση…»</w:t>
      </w:r>
    </w:p>
    <w:p w14:paraId="01205A76" w14:textId="77777777" w:rsidR="006B7266" w:rsidRPr="00D925EF" w:rsidRDefault="006B7266" w:rsidP="006B7266">
      <w:pPr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spellStart"/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>Παραταύτα</w:t>
      </w:r>
      <w:proofErr w:type="spellEnd"/>
      <w:r w:rsidRPr="00D925EF">
        <w:rPr>
          <w:rFonts w:ascii="Times New Roman" w:eastAsia="SimSun" w:hAnsi="Times New Roman" w:cs="Times New Roman"/>
          <w:sz w:val="24"/>
          <w:szCs w:val="24"/>
          <w:lang w:eastAsia="zh-CN"/>
        </w:rPr>
        <w:t>, σύμφωνα με την Γνώμη Α-45 ΕΑΑΔΗΣΥ :</w:t>
      </w:r>
      <w:r w:rsidRPr="00D925EF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«</w:t>
      </w:r>
      <w:r w:rsidRPr="00D925E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Περαιτέρω, </w:t>
      </w:r>
      <w:r w:rsidRPr="00D925E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θα πρέπει να διευκρινισθεί η διαδικασία με την οποία ορίζονται μέλη από το δημόσιο ή φορείς του ευρύτερου δημόσιου τομέα </w:t>
      </w:r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(ο τρόπος με τον οποίο γίνεται το αίτημα από την </w:t>
      </w:r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αναθέτουσα αρχή, ο τρόπος επιλογής των φορέων από τους οποίους ζητείται ο ορισμός μελών, ο αριθμός αυτών, ο χρόνος απόκρισής τους </w:t>
      </w:r>
      <w:proofErr w:type="spellStart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κλπ</w:t>
      </w:r>
      <w:proofErr w:type="spellEnd"/>
      <w:r w:rsidRPr="00D925E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)». </w:t>
      </w:r>
    </w:p>
    <w:p w14:paraId="1F847AA3" w14:textId="7F28D21B" w:rsidR="00AF1D65" w:rsidRPr="00D925EF" w:rsidRDefault="00AF1D65" w:rsidP="00AF1D6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Απάντηση στο β’ ερώτημα </w:t>
      </w:r>
      <w:bookmarkStart w:id="0" w:name="_Hlk69572142"/>
      <w:r w:rsidRPr="00D925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 </w:t>
      </w:r>
      <w:bookmarkEnd w:id="0"/>
    </w:p>
    <w:p w14:paraId="1B88DCD9" w14:textId="483A28B2" w:rsidR="00736269" w:rsidRPr="00D925EF" w:rsidRDefault="00736269" w:rsidP="00736269">
      <w:pPr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Το « Μητρώο της περ. η’ της παρούσας» στο οποίο αναφέρεστε αφορά στις παλαιές διατάξεις του Νόμου και στις τροποποιημένες ήδη έγινε  (</w:t>
      </w:r>
      <w:r w:rsidRPr="00D925E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« Μητρώο </w:t>
      </w:r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της περίπτωσης ζ’ παραγράφου), δηλ. το Μητρώο Μελών Επιτροπών Διαδικασιών Σύναψης Δημόσιων Συμβάσεων Έργων, Μελετών, Τεχνικών και Λοιπών Συναφών Επιστημονικών Υπηρεσιών (</w:t>
      </w:r>
      <w:proofErr w:type="spellStart"/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Μη.Μ.Ε.Δ</w:t>
      </w:r>
      <w:proofErr w:type="spellEnd"/>
      <w:r w:rsidRPr="00D925E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.), που εγγράφονται τεχνικοί υπάλληλοι όλων των αναθετουσών αρχών ή αναθετόντων φορέων των ανεξάρτητων αρχών και της Βουλής των Ελλήνων και συστήνεται και τηρείται στη Γενική Γραμματεία Υποδομών.</w:t>
      </w:r>
    </w:p>
    <w:p w14:paraId="2CD9DA5A" w14:textId="77777777" w:rsidR="00D925EF" w:rsidRPr="00D925EF" w:rsidRDefault="00D925EF" w:rsidP="00D925E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D925EF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14:paraId="3C9A72F5" w14:textId="77777777" w:rsidR="00D925EF" w:rsidRPr="00D925EF" w:rsidRDefault="00D925EF" w:rsidP="00D925E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D925EF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0C38E6B1" w14:textId="77777777" w:rsidR="00D925EF" w:rsidRPr="00D925EF" w:rsidRDefault="00D925EF" w:rsidP="00D925E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hyperlink r:id="rId4" w:tgtFrame="_blank" w:history="1">
        <w:proofErr w:type="spellStart"/>
        <w:r w:rsidRPr="00D925E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D925E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D925E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D925E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D925E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</w:hyperlink>
    </w:p>
    <w:p w14:paraId="7DF6C4ED" w14:textId="77777777" w:rsidR="00D925EF" w:rsidRPr="00D925EF" w:rsidRDefault="00D925EF" w:rsidP="00D925E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D925E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r w:rsidRPr="00D925E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D925E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begin"/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HYPERLINK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mailto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: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zpapastamatis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@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gmail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.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com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" \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t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"_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blank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" </w:instrTex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separate"/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zpapastamatis</w: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@</w: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gmail</w: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.</w: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com</w:t>
      </w:r>
      <w:r w:rsidRPr="00D925E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end"/>
      </w:r>
    </w:p>
    <w:p w14:paraId="1A95C06E" w14:textId="7EEDB3E0" w:rsidR="00736269" w:rsidRPr="00D925EF" w:rsidRDefault="00D925EF" w:rsidP="00D925EF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D925EF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D925EF">
        <w:rPr>
          <w:rFonts w:ascii="Times New Roman" w:eastAsia="Times New Roman" w:hAnsi="Times New Roman" w:cs="Times New Roman"/>
          <w:sz w:val="24"/>
          <w:szCs w:val="24"/>
          <w:lang w:eastAsia="el-GR"/>
        </w:rPr>
        <w:t>. Επικοινωνίας :</w:t>
      </w:r>
      <w:r w:rsidRPr="00D925E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6945558980</w:t>
      </w:r>
    </w:p>
    <w:p w14:paraId="3128B7A9" w14:textId="77777777" w:rsidR="00AF1D65" w:rsidRPr="00D925EF" w:rsidRDefault="00AF1D65" w:rsidP="00AF1D6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CA47CC1" w14:textId="77777777" w:rsidR="009C2035" w:rsidRPr="00D925EF" w:rsidRDefault="009C2035" w:rsidP="009C2035">
      <w:pPr>
        <w:jc w:val="both"/>
        <w:rPr>
          <w:vanish/>
          <w:sz w:val="24"/>
          <w:szCs w:val="24"/>
        </w:rPr>
      </w:pPr>
      <w:r w:rsidRPr="00D925EF">
        <w:rPr>
          <w:vanish/>
          <w:sz w:val="24"/>
          <w:szCs w:val="24"/>
        </w:rPr>
        <w:t>Τέλος φόρμας</w:t>
      </w:r>
    </w:p>
    <w:p w14:paraId="4D139F07" w14:textId="77777777" w:rsidR="005850E2" w:rsidRPr="00D925EF" w:rsidRDefault="00D925EF" w:rsidP="009C2035">
      <w:pPr>
        <w:jc w:val="both"/>
        <w:rPr>
          <w:sz w:val="24"/>
          <w:szCs w:val="24"/>
        </w:rPr>
      </w:pPr>
    </w:p>
    <w:sectPr w:rsidR="005850E2" w:rsidRPr="00D92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35"/>
    <w:rsid w:val="002E3AD8"/>
    <w:rsid w:val="004C4A64"/>
    <w:rsid w:val="006B7266"/>
    <w:rsid w:val="00736269"/>
    <w:rsid w:val="00777A69"/>
    <w:rsid w:val="009C2035"/>
    <w:rsid w:val="00AF1D65"/>
    <w:rsid w:val="00D925EF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0456"/>
  <w15:chartTrackingRefBased/>
  <w15:docId w15:val="{C821FDEA-8A3D-44A0-8A66-5E2572A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203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C2035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7362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3626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5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5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95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20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602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735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01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900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mosies-symvase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4</cp:revision>
  <dcterms:created xsi:type="dcterms:W3CDTF">2021-04-17T14:00:00Z</dcterms:created>
  <dcterms:modified xsi:type="dcterms:W3CDTF">2025-03-21T07:43:00Z</dcterms:modified>
</cp:coreProperties>
</file>