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0FCC9" w14:textId="77777777" w:rsidR="005211FC" w:rsidRPr="00907DB3" w:rsidRDefault="005211FC" w:rsidP="005211FC">
      <w:pPr>
        <w:pBdr>
          <w:bottom w:val="single" w:sz="6" w:space="1" w:color="auto"/>
        </w:pBdr>
        <w:spacing w:after="0" w:line="240" w:lineRule="auto"/>
        <w:jc w:val="both"/>
        <w:rPr>
          <w:rFonts w:ascii="Times New Roman" w:eastAsia="Times New Roman" w:hAnsi="Times New Roman" w:cs="Times New Roman"/>
          <w:vanish/>
          <w:sz w:val="24"/>
          <w:szCs w:val="24"/>
          <w:lang w:eastAsia="el-GR"/>
        </w:rPr>
      </w:pPr>
      <w:r w:rsidRPr="00907DB3">
        <w:rPr>
          <w:rFonts w:ascii="Times New Roman" w:eastAsia="Times New Roman" w:hAnsi="Times New Roman" w:cs="Times New Roman"/>
          <w:vanish/>
          <w:sz w:val="24"/>
          <w:szCs w:val="24"/>
          <w:lang w:eastAsia="el-GR"/>
        </w:rPr>
        <w:t>Αρχή φόρμας</w:t>
      </w:r>
    </w:p>
    <w:p w14:paraId="4C93A596" w14:textId="7ED020D0" w:rsidR="005211FC" w:rsidRDefault="00A04C28" w:rsidP="005211FC">
      <w:pPr>
        <w:spacing w:after="0" w:line="240" w:lineRule="auto"/>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b/>
          <w:sz w:val="24"/>
          <w:szCs w:val="24"/>
          <w:lang w:eastAsia="el-GR"/>
        </w:rPr>
        <w:t>ΘΕΜΑ</w:t>
      </w:r>
      <w:r w:rsidR="005211FC" w:rsidRPr="00907DB3">
        <w:rPr>
          <w:rFonts w:ascii="Times New Roman" w:eastAsia="Times New Roman" w:hAnsi="Times New Roman" w:cs="Times New Roman"/>
          <w:b/>
          <w:sz w:val="24"/>
          <w:szCs w:val="24"/>
          <w:lang w:eastAsia="el-GR"/>
        </w:rPr>
        <w:t xml:space="preserve">  </w:t>
      </w:r>
      <w:r w:rsidR="00C17918" w:rsidRPr="00907DB3">
        <w:rPr>
          <w:rFonts w:ascii="Times New Roman" w:eastAsia="Times New Roman" w:hAnsi="Times New Roman" w:cs="Times New Roman"/>
          <w:b/>
          <w:bCs/>
          <w:sz w:val="24"/>
          <w:szCs w:val="24"/>
          <w:lang w:eastAsia="el-GR"/>
        </w:rPr>
        <w:t xml:space="preserve">: </w:t>
      </w:r>
      <w:r w:rsidRPr="00907DB3">
        <w:rPr>
          <w:rFonts w:ascii="Times New Roman" w:eastAsia="Times New Roman" w:hAnsi="Times New Roman" w:cs="Times New Roman"/>
          <w:b/>
          <w:bCs/>
          <w:sz w:val="24"/>
          <w:szCs w:val="24"/>
          <w:lang w:eastAsia="el-GR"/>
        </w:rPr>
        <w:t xml:space="preserve"> </w:t>
      </w:r>
      <w:r w:rsidRPr="00907DB3">
        <w:rPr>
          <w:rFonts w:ascii="Times New Roman" w:eastAsia="Times New Roman" w:hAnsi="Times New Roman" w:cs="Times New Roman"/>
          <w:bCs/>
          <w:sz w:val="24"/>
          <w:szCs w:val="24"/>
          <w:lang w:eastAsia="el-GR"/>
        </w:rPr>
        <w:t xml:space="preserve">Δυνατότητα σύναψης </w:t>
      </w:r>
      <w:r w:rsidRPr="00907DB3">
        <w:rPr>
          <w:rFonts w:ascii="Times New Roman" w:eastAsia="Times New Roman" w:hAnsi="Times New Roman" w:cs="Times New Roman"/>
          <w:sz w:val="24"/>
          <w:szCs w:val="24"/>
          <w:lang w:eastAsia="el-GR"/>
        </w:rPr>
        <w:t>Υπεργολαβίας κατά την εκτέλεση του Έργου, που δεν είχε δηλωθεί στο ΕΕΕΣ</w:t>
      </w:r>
    </w:p>
    <w:p w14:paraId="1187BD75" w14:textId="35337BB3" w:rsidR="00907DB3" w:rsidRPr="00907DB3" w:rsidRDefault="00907DB3" w:rsidP="005211FC">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bookmarkStart w:id="0" w:name="_GoBack"/>
      <w:r w:rsidRPr="00907DB3">
        <w:rPr>
          <w:rFonts w:ascii="Times New Roman" w:eastAsia="Times New Roman" w:hAnsi="Times New Roman" w:cs="Times New Roman"/>
          <w:b/>
          <w:i/>
          <w:color w:val="385623" w:themeColor="accent6" w:themeShade="80"/>
          <w:sz w:val="24"/>
          <w:szCs w:val="24"/>
          <w:lang w:eastAsia="el-GR"/>
        </w:rPr>
        <w:t>16/02/2024</w:t>
      </w:r>
      <w:bookmarkEnd w:id="0"/>
    </w:p>
    <w:p w14:paraId="472029D0" w14:textId="78B15DD6" w:rsidR="005C1633" w:rsidRPr="00907DB3" w:rsidRDefault="00A04C28" w:rsidP="005211FC">
      <w:pPr>
        <w:spacing w:after="0" w:line="240" w:lineRule="auto"/>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b/>
          <w:sz w:val="24"/>
          <w:szCs w:val="24"/>
          <w:lang w:eastAsia="el-GR"/>
        </w:rPr>
        <w:t xml:space="preserve">Ερώτηση  </w:t>
      </w:r>
      <w:r w:rsidRPr="00907DB3">
        <w:rPr>
          <w:rFonts w:ascii="Times New Roman" w:eastAsia="Times New Roman" w:hAnsi="Times New Roman" w:cs="Times New Roman"/>
          <w:b/>
          <w:bCs/>
          <w:sz w:val="24"/>
          <w:szCs w:val="24"/>
          <w:lang w:eastAsia="el-GR"/>
        </w:rPr>
        <w:t xml:space="preserve">:  </w:t>
      </w:r>
      <w:r w:rsidR="00C17918" w:rsidRPr="00907DB3">
        <w:rPr>
          <w:rFonts w:ascii="Times New Roman" w:eastAsia="Times New Roman" w:hAnsi="Times New Roman" w:cs="Times New Roman"/>
          <w:sz w:val="24"/>
          <w:szCs w:val="24"/>
          <w:lang w:eastAsia="el-GR"/>
        </w:rPr>
        <w:t>Σ</w:t>
      </w:r>
      <w:r w:rsidR="005C1633" w:rsidRPr="00907DB3">
        <w:rPr>
          <w:rFonts w:ascii="Times New Roman" w:eastAsia="Times New Roman" w:hAnsi="Times New Roman" w:cs="Times New Roman"/>
          <w:sz w:val="24"/>
          <w:szCs w:val="24"/>
          <w:lang w:eastAsia="el-GR"/>
        </w:rPr>
        <w:t>ε σύμβαση έργου που έχει ξεκινήσει και που στο ΕΕΕΣ λέει ότι «Δεν προτίθεται να αναθέσει υπεργολαβία για κανένα τμήμα του έργου», μπορεί τώρα, στα μισά του έργου να κάνει αίτημα για ανάθεση</w:t>
      </w:r>
      <w:r w:rsidRPr="00907DB3">
        <w:rPr>
          <w:rFonts w:ascii="Times New Roman" w:eastAsia="Times New Roman" w:hAnsi="Times New Roman" w:cs="Times New Roman"/>
          <w:sz w:val="24"/>
          <w:szCs w:val="24"/>
          <w:lang w:eastAsia="el-GR"/>
        </w:rPr>
        <w:t xml:space="preserve"> σε υπεργολάβο;</w:t>
      </w:r>
    </w:p>
    <w:p w14:paraId="66D7E4C0" w14:textId="77777777" w:rsidR="00A907EF" w:rsidRPr="00907DB3" w:rsidRDefault="00A907EF" w:rsidP="00A907EF">
      <w:pPr>
        <w:spacing w:after="0" w:line="240" w:lineRule="auto"/>
        <w:jc w:val="both"/>
        <w:rPr>
          <w:rFonts w:ascii="Times New Roman" w:eastAsia="Times New Roman" w:hAnsi="Times New Roman" w:cs="Times New Roman"/>
          <w:sz w:val="24"/>
          <w:szCs w:val="24"/>
          <w:lang w:eastAsia="el-GR"/>
        </w:rPr>
      </w:pPr>
    </w:p>
    <w:p w14:paraId="27A6D3A7" w14:textId="4769DBC5" w:rsidR="00A907EF" w:rsidRPr="00907DB3" w:rsidRDefault="00A907EF" w:rsidP="00A907EF">
      <w:pPr>
        <w:spacing w:after="0" w:line="240" w:lineRule="auto"/>
        <w:jc w:val="both"/>
        <w:rPr>
          <w:rFonts w:ascii="Times New Roman" w:eastAsia="Times New Roman" w:hAnsi="Times New Roman" w:cs="Times New Roman"/>
          <w:b/>
          <w:bCs/>
          <w:sz w:val="24"/>
          <w:szCs w:val="24"/>
          <w:lang w:eastAsia="el-GR"/>
        </w:rPr>
      </w:pPr>
      <w:r w:rsidRPr="00907DB3">
        <w:rPr>
          <w:rFonts w:ascii="Times New Roman" w:eastAsia="Times New Roman" w:hAnsi="Times New Roman" w:cs="Times New Roman"/>
          <w:b/>
          <w:bCs/>
          <w:sz w:val="24"/>
          <w:szCs w:val="24"/>
          <w:lang w:eastAsia="el-GR"/>
        </w:rPr>
        <w:t xml:space="preserve">Απάντηση: </w:t>
      </w:r>
    </w:p>
    <w:p w14:paraId="2D8A418B" w14:textId="770230D9" w:rsidR="00DA02D5" w:rsidRPr="00907DB3" w:rsidRDefault="00EF24D5" w:rsidP="0022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eastAsia="el-GR"/>
        </w:rPr>
      </w:pPr>
      <w:r w:rsidRPr="00907DB3">
        <w:rPr>
          <w:rFonts w:ascii="Times New Roman" w:eastAsia="Times New Roman" w:hAnsi="Times New Roman" w:cs="Times New Roman"/>
          <w:sz w:val="24"/>
          <w:szCs w:val="24"/>
          <w:lang w:eastAsia="el-GR"/>
        </w:rPr>
        <w:t xml:space="preserve">Το άρθρο 165 αντικαταστάθηκε με το </w:t>
      </w:r>
      <w:hyperlink r:id="rId4" w:history="1">
        <w:r w:rsidRPr="00907DB3">
          <w:rPr>
            <w:rFonts w:ascii="Times New Roman" w:eastAsia="Times New Roman" w:hAnsi="Times New Roman" w:cs="Times New Roman"/>
            <w:sz w:val="24"/>
            <w:szCs w:val="24"/>
            <w:lang w:eastAsia="el-GR"/>
          </w:rPr>
          <w:t>άρθρο 81</w:t>
        </w:r>
      </w:hyperlink>
      <w:r w:rsidRPr="00907DB3">
        <w:rPr>
          <w:rFonts w:ascii="Times New Roman" w:eastAsia="Times New Roman" w:hAnsi="Times New Roman" w:cs="Times New Roman"/>
          <w:sz w:val="24"/>
          <w:szCs w:val="24"/>
          <w:lang w:eastAsia="el-GR"/>
        </w:rPr>
        <w:t xml:space="preserve"> Ν.</w:t>
      </w:r>
      <w:hyperlink r:id="rId5" w:history="1">
        <w:r w:rsidRPr="00907DB3">
          <w:rPr>
            <w:rFonts w:ascii="Times New Roman" w:eastAsia="Times New Roman" w:hAnsi="Times New Roman" w:cs="Times New Roman"/>
            <w:sz w:val="24"/>
            <w:szCs w:val="24"/>
            <w:lang w:eastAsia="el-GR"/>
          </w:rPr>
          <w:t>4782/2021</w:t>
        </w:r>
      </w:hyperlink>
      <w:r w:rsidRPr="00907DB3">
        <w:rPr>
          <w:rFonts w:ascii="Times New Roman" w:eastAsia="Times New Roman" w:hAnsi="Times New Roman" w:cs="Times New Roman"/>
          <w:sz w:val="24"/>
          <w:szCs w:val="24"/>
          <w:lang w:eastAsia="el-GR"/>
        </w:rPr>
        <w:t xml:space="preserve"> (ΦΕΚ Α 36/09.03.2021) και διαμορφώθηκε στο νέο, τροποποιημένο, Άρθρο 165 ` Υπεργολαβία κατά την εκτέλεση - Εγκεκριμένος υπεργολάβος - Κατασκευαστική κοινοπραξία¨, έναρξη ισχύος δε του νέου Άρθρου ορίσθηκε (σύμφωνα με το άρθρο 142 παρ.2 του Ν, 4782/2021) από την δημοσίευση αυτού  στην </w:t>
      </w:r>
      <w:proofErr w:type="spellStart"/>
      <w:r w:rsidRPr="00907DB3">
        <w:rPr>
          <w:rFonts w:ascii="Times New Roman" w:eastAsia="Times New Roman" w:hAnsi="Times New Roman" w:cs="Times New Roman"/>
          <w:sz w:val="24"/>
          <w:szCs w:val="24"/>
          <w:lang w:eastAsia="el-GR"/>
        </w:rPr>
        <w:t>Ε.τ.Κ</w:t>
      </w:r>
      <w:proofErr w:type="spellEnd"/>
      <w:r w:rsidRPr="00907DB3">
        <w:rPr>
          <w:rFonts w:ascii="Times New Roman" w:eastAsia="Times New Roman" w:hAnsi="Times New Roman" w:cs="Times New Roman"/>
          <w:sz w:val="24"/>
          <w:szCs w:val="24"/>
          <w:lang w:eastAsia="el-GR"/>
        </w:rPr>
        <w:t xml:space="preserve">. σύμφωνα  δε με το άρθρο 140 παρ.9 αυτού, εφαρμόζεται και </w:t>
      </w:r>
      <w:r w:rsidRPr="00907DB3">
        <w:rPr>
          <w:rFonts w:ascii="Times New Roman" w:eastAsia="Times New Roman" w:hAnsi="Times New Roman" w:cs="Times New Roman"/>
          <w:b/>
          <w:bCs/>
          <w:sz w:val="24"/>
          <w:szCs w:val="24"/>
          <w:u w:val="single"/>
          <w:lang w:eastAsia="el-GR"/>
        </w:rPr>
        <w:t>σε συμβάσεις που συνάφθηκαν πριν την έναρξη ισχύος του</w:t>
      </w:r>
      <w:r w:rsidR="00227DE5" w:rsidRPr="00907DB3">
        <w:rPr>
          <w:rFonts w:ascii="Times New Roman" w:eastAsia="Times New Roman" w:hAnsi="Times New Roman" w:cs="Times New Roman"/>
          <w:b/>
          <w:bCs/>
          <w:sz w:val="24"/>
          <w:szCs w:val="24"/>
          <w:u w:val="single"/>
          <w:lang w:eastAsia="el-GR"/>
        </w:rPr>
        <w:t>.</w:t>
      </w:r>
      <w:r w:rsidR="005211FC" w:rsidRPr="00907DB3">
        <w:rPr>
          <w:rFonts w:ascii="Arial" w:eastAsia="Times New Roman" w:hAnsi="Arial" w:cs="Arial"/>
          <w:vanish/>
          <w:sz w:val="24"/>
          <w:szCs w:val="24"/>
          <w:lang w:eastAsia="el-GR"/>
        </w:rPr>
        <w:t>Τέλος φόρμας</w:t>
      </w:r>
    </w:p>
    <w:p w14:paraId="2A18FC27" w14:textId="0DB93E17" w:rsidR="00227DE5" w:rsidRPr="00907DB3" w:rsidRDefault="00227DE5" w:rsidP="0022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sz w:val="24"/>
          <w:szCs w:val="24"/>
          <w:lang w:eastAsia="el-GR"/>
        </w:rPr>
        <w:t xml:space="preserve">Κατά τα σχετικώς αναφερόμενα στην αιτιολογική έκθεση «Αναδιατυπώνεται το άρθρο που σχετίζεται με την ανάθεση σε υπεργολάβο τμήματος του έργου και η διάταξη γίνεται συμβατή με το </w:t>
      </w:r>
      <w:proofErr w:type="spellStart"/>
      <w:r w:rsidRPr="00907DB3">
        <w:rPr>
          <w:rFonts w:ascii="Times New Roman" w:eastAsia="Times New Roman" w:hAnsi="Times New Roman" w:cs="Times New Roman"/>
          <w:sz w:val="24"/>
          <w:szCs w:val="24"/>
          <w:lang w:eastAsia="el-GR"/>
        </w:rPr>
        <w:t>ενωσιακό</w:t>
      </w:r>
      <w:proofErr w:type="spellEnd"/>
      <w:r w:rsidRPr="00907DB3">
        <w:rPr>
          <w:rFonts w:ascii="Times New Roman" w:eastAsia="Times New Roman" w:hAnsi="Times New Roman" w:cs="Times New Roman"/>
          <w:sz w:val="24"/>
          <w:szCs w:val="24"/>
          <w:lang w:eastAsia="el-GR"/>
        </w:rPr>
        <w:t xml:space="preserve"> δίκαιο αίροντας εθνικούς περιορισμούς, ενώ καθορίζεται η δυνατότητα γνωστοποίησης του υπεργολάβου από τον ανάδοχο στην αναθέτουσα αρχή, όπου </w:t>
      </w:r>
      <w:r w:rsidRPr="00907DB3">
        <w:rPr>
          <w:rFonts w:ascii="Times New Roman" w:eastAsia="Times New Roman" w:hAnsi="Times New Roman" w:cs="Times New Roman"/>
          <w:b/>
          <w:bCs/>
          <w:sz w:val="24"/>
          <w:szCs w:val="24"/>
          <w:u w:val="single"/>
          <w:lang w:eastAsia="el-GR"/>
        </w:rPr>
        <w:t>στο εξής η Προϊσταμένη Αρχή θα είναι αρμόδια να εγκρίνει εντός 15 ημερών την υπεργολαβία</w:t>
      </w:r>
      <w:r w:rsidRPr="00907DB3">
        <w:rPr>
          <w:rFonts w:ascii="Times New Roman" w:eastAsia="Times New Roman" w:hAnsi="Times New Roman" w:cs="Times New Roman"/>
          <w:sz w:val="24"/>
          <w:szCs w:val="24"/>
          <w:lang w:eastAsia="el-GR"/>
        </w:rPr>
        <w:t xml:space="preserve"> και εισάγεται ο θεσμός του εγκεκριμένου υπεργολάβου. Κατά την υπογραφή της σύμβασης εκτέλεσης ο ανάδοχος οφείλει να προσκομίσει την </w:t>
      </w:r>
      <w:proofErr w:type="spellStart"/>
      <w:r w:rsidRPr="00907DB3">
        <w:rPr>
          <w:rFonts w:ascii="Times New Roman" w:eastAsia="Times New Roman" w:hAnsi="Times New Roman" w:cs="Times New Roman"/>
          <w:sz w:val="24"/>
          <w:szCs w:val="24"/>
          <w:lang w:eastAsia="el-GR"/>
        </w:rPr>
        <w:t>υπεργολαβική</w:t>
      </w:r>
      <w:proofErr w:type="spellEnd"/>
      <w:r w:rsidRPr="00907DB3">
        <w:rPr>
          <w:rFonts w:ascii="Times New Roman" w:eastAsia="Times New Roman" w:hAnsi="Times New Roman" w:cs="Times New Roman"/>
          <w:sz w:val="24"/>
          <w:szCs w:val="24"/>
          <w:lang w:eastAsia="el-GR"/>
        </w:rPr>
        <w:t xml:space="preserve"> σύμβαση και </w:t>
      </w:r>
      <w:r w:rsidRPr="00907DB3">
        <w:rPr>
          <w:rFonts w:ascii="Times New Roman" w:eastAsia="Times New Roman" w:hAnsi="Times New Roman" w:cs="Times New Roman"/>
          <w:b/>
          <w:bCs/>
          <w:sz w:val="24"/>
          <w:szCs w:val="24"/>
          <w:u w:val="single"/>
          <w:lang w:eastAsia="el-GR"/>
        </w:rPr>
        <w:t>αν δεν το πράξει εμπρόθεσμα αυτό, δύναται η Διευθύνουσα Υπηρεσία να μην αποδέχεται την υπεργολαβία</w:t>
      </w:r>
      <w:r w:rsidRPr="00907DB3">
        <w:rPr>
          <w:rFonts w:ascii="Times New Roman" w:eastAsia="Times New Roman" w:hAnsi="Times New Roman" w:cs="Times New Roman"/>
          <w:sz w:val="24"/>
          <w:szCs w:val="24"/>
          <w:lang w:eastAsia="el-GR"/>
        </w:rPr>
        <w:t>».</w:t>
      </w:r>
    </w:p>
    <w:p w14:paraId="30CDDF6E" w14:textId="54FB8EDD" w:rsidR="00227DE5" w:rsidRPr="00907DB3" w:rsidRDefault="00227DE5" w:rsidP="0022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sz w:val="24"/>
          <w:szCs w:val="24"/>
          <w:lang w:eastAsia="el-GR"/>
        </w:rPr>
        <w:t>Όμως, σύμφωνα με την παρ. 3 του εν λόγω Άρθρου «</w:t>
      </w:r>
      <w:r w:rsidRPr="00907DB3">
        <w:rPr>
          <w:rFonts w:ascii="Times New Roman" w:eastAsia="Times New Roman" w:hAnsi="Times New Roman" w:cs="Times New Roman"/>
          <w:b/>
          <w:bCs/>
          <w:sz w:val="24"/>
          <w:szCs w:val="24"/>
          <w:u w:val="single"/>
          <w:lang w:eastAsia="el-GR"/>
        </w:rPr>
        <w:t xml:space="preserve">Η διευθύνουσα υπηρεσία μπορεί να χορηγήσει προθεσμία στον ανάδοχο </w:t>
      </w:r>
      <w:r w:rsidRPr="00907DB3">
        <w:rPr>
          <w:rFonts w:ascii="Times New Roman" w:eastAsia="Times New Roman" w:hAnsi="Times New Roman" w:cs="Times New Roman"/>
          <w:sz w:val="24"/>
          <w:szCs w:val="24"/>
          <w:lang w:eastAsia="el-GR"/>
        </w:rPr>
        <w:t xml:space="preserve">κατ` αίτησή του, για την προσκόμιση της </w:t>
      </w:r>
      <w:proofErr w:type="spellStart"/>
      <w:r w:rsidRPr="00907DB3">
        <w:rPr>
          <w:rFonts w:ascii="Times New Roman" w:eastAsia="Times New Roman" w:hAnsi="Times New Roman" w:cs="Times New Roman"/>
          <w:sz w:val="24"/>
          <w:szCs w:val="24"/>
          <w:lang w:eastAsia="el-GR"/>
        </w:rPr>
        <w:t>υπεργολαβικής</w:t>
      </w:r>
      <w:proofErr w:type="spellEnd"/>
      <w:r w:rsidRPr="00907DB3">
        <w:rPr>
          <w:rFonts w:ascii="Times New Roman" w:eastAsia="Times New Roman" w:hAnsi="Times New Roman" w:cs="Times New Roman"/>
          <w:sz w:val="24"/>
          <w:szCs w:val="24"/>
          <w:lang w:eastAsia="el-GR"/>
        </w:rPr>
        <w:t xml:space="preserve"> σύμβασης με τον αρχικώς </w:t>
      </w:r>
      <w:proofErr w:type="spellStart"/>
      <w:r w:rsidRPr="00907DB3">
        <w:rPr>
          <w:rFonts w:ascii="Times New Roman" w:eastAsia="Times New Roman" w:hAnsi="Times New Roman" w:cs="Times New Roman"/>
          <w:sz w:val="24"/>
          <w:szCs w:val="24"/>
          <w:lang w:eastAsia="el-GR"/>
        </w:rPr>
        <w:t>προταθέντα</w:t>
      </w:r>
      <w:proofErr w:type="spellEnd"/>
      <w:r w:rsidRPr="00907DB3">
        <w:rPr>
          <w:rFonts w:ascii="Times New Roman" w:eastAsia="Times New Roman" w:hAnsi="Times New Roman" w:cs="Times New Roman"/>
          <w:sz w:val="24"/>
          <w:szCs w:val="24"/>
          <w:lang w:eastAsia="el-GR"/>
        </w:rPr>
        <w:t xml:space="preserve"> υπεργολάβο ή άλλον, που διαθέτει τα αναγκαία κατά την κρίση της υπηρεσίας αυτής προσόντα, </w:t>
      </w:r>
      <w:r w:rsidRPr="00907DB3">
        <w:rPr>
          <w:rFonts w:ascii="Times New Roman" w:eastAsia="Times New Roman" w:hAnsi="Times New Roman" w:cs="Times New Roman"/>
          <w:b/>
          <w:bCs/>
          <w:sz w:val="24"/>
          <w:szCs w:val="24"/>
          <w:u w:val="single"/>
          <w:lang w:eastAsia="el-GR"/>
        </w:rPr>
        <w:t>εφόσον συντρέχει σοβαρός λόγος».</w:t>
      </w:r>
    </w:p>
    <w:p w14:paraId="1231C0CD" w14:textId="4A309B45" w:rsidR="00227DE5" w:rsidRPr="00907DB3" w:rsidRDefault="00204869" w:rsidP="00227DE5">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sz w:val="24"/>
          <w:szCs w:val="24"/>
          <w:lang w:eastAsia="el-GR"/>
        </w:rPr>
        <w:t xml:space="preserve">Ωστόσο, στην παρ. 1 και ειδικότερα στην περ. β) αυτής, προκειμένου να θεωρηθεί «εγκεκριμένος» ο υπεργολάβος, τίθεται ως προϋπόθεση η, εκ μέρους του αναδόχου, γνωστοποίηση στον κύριο του έργου ή στον φορέα κατασκευής, της σύμβασης υπεργολαβίας, πριν από την εγκατάσταση του υπεργολάβου στο έργο. </w:t>
      </w:r>
    </w:p>
    <w:p w14:paraId="1FC2EAD4" w14:textId="5D3E900B" w:rsidR="00C17918" w:rsidRPr="00907DB3" w:rsidRDefault="00C17918" w:rsidP="00227DE5">
      <w:pPr>
        <w:widowControl w:val="0"/>
        <w:autoSpaceDE w:val="0"/>
        <w:autoSpaceDN w:val="0"/>
        <w:adjustRightInd w:val="0"/>
        <w:spacing w:after="0" w:line="240" w:lineRule="auto"/>
        <w:ind w:right="-57"/>
        <w:jc w:val="both"/>
        <w:rPr>
          <w:rFonts w:ascii="Times New Roman" w:eastAsia="Times New Roman" w:hAnsi="Times New Roman" w:cs="Times New Roman"/>
          <w:b/>
          <w:sz w:val="24"/>
          <w:szCs w:val="24"/>
          <w:u w:val="double"/>
          <w:lang w:eastAsia="el-GR"/>
        </w:rPr>
      </w:pPr>
      <w:r w:rsidRPr="00907DB3">
        <w:rPr>
          <w:rFonts w:ascii="Times New Roman" w:eastAsia="Times New Roman" w:hAnsi="Times New Roman" w:cs="Times New Roman"/>
          <w:b/>
          <w:sz w:val="24"/>
          <w:szCs w:val="24"/>
          <w:u w:val="double"/>
          <w:lang w:eastAsia="el-GR"/>
        </w:rPr>
        <w:t>Σύμφωνα με την Γνώμη Α-45 ΕΑΑΔΗΣΥ:</w:t>
      </w:r>
    </w:p>
    <w:p w14:paraId="1B619ABA" w14:textId="2911825D" w:rsidR="00C17918" w:rsidRPr="00907DB3" w:rsidRDefault="00C17918" w:rsidP="00227DE5">
      <w:pPr>
        <w:widowControl w:val="0"/>
        <w:autoSpaceDE w:val="0"/>
        <w:autoSpaceDN w:val="0"/>
        <w:adjustRightInd w:val="0"/>
        <w:spacing w:after="0" w:line="240" w:lineRule="auto"/>
        <w:ind w:right="-57"/>
        <w:jc w:val="both"/>
        <w:rPr>
          <w:rFonts w:ascii="Times New Roman" w:eastAsia="Times New Roman" w:hAnsi="Times New Roman" w:cs="Times New Roman"/>
          <w:i/>
          <w:sz w:val="24"/>
          <w:szCs w:val="24"/>
          <w:lang w:eastAsia="el-GR"/>
        </w:rPr>
      </w:pPr>
      <w:r w:rsidRPr="00907DB3">
        <w:rPr>
          <w:rFonts w:ascii="Times New Roman" w:eastAsia="Times New Roman" w:hAnsi="Times New Roman" w:cs="Times New Roman"/>
          <w:i/>
          <w:sz w:val="24"/>
          <w:szCs w:val="24"/>
          <w:lang w:eastAsia="el-GR"/>
        </w:rPr>
        <w:t xml:space="preserve">Επισημαίνεται εν προκειμένω, ότι με την προτεινόμενη διάταξη, ακόμη και στην περίπτωση που ο ανάδοχος δεν προσκομίσει, τελικώς, την </w:t>
      </w:r>
      <w:proofErr w:type="spellStart"/>
      <w:r w:rsidRPr="00907DB3">
        <w:rPr>
          <w:rFonts w:ascii="Times New Roman" w:eastAsia="Times New Roman" w:hAnsi="Times New Roman" w:cs="Times New Roman"/>
          <w:i/>
          <w:sz w:val="24"/>
          <w:szCs w:val="24"/>
          <w:lang w:eastAsia="el-GR"/>
        </w:rPr>
        <w:t>υπεργολαβική</w:t>
      </w:r>
      <w:proofErr w:type="spellEnd"/>
      <w:r w:rsidRPr="00907DB3">
        <w:rPr>
          <w:rFonts w:ascii="Times New Roman" w:eastAsia="Times New Roman" w:hAnsi="Times New Roman" w:cs="Times New Roman"/>
          <w:i/>
          <w:sz w:val="24"/>
          <w:szCs w:val="24"/>
          <w:lang w:eastAsia="el-GR"/>
        </w:rPr>
        <w:t xml:space="preserve"> σύμβαση, διαφαίνεται ότι ο υπεργολάβος δύναται να εγκατασταθεί στο έργο, χωρίς την προηγούμενη γνωστοποίηση στον κύριο </w:t>
      </w:r>
      <w:r w:rsidRPr="00907DB3">
        <w:rPr>
          <w:rFonts w:ascii="Times New Roman" w:eastAsia="Times New Roman" w:hAnsi="Times New Roman" w:cs="Times New Roman"/>
          <w:i/>
          <w:sz w:val="24"/>
          <w:szCs w:val="24"/>
          <w:lang w:eastAsia="el-GR"/>
        </w:rPr>
        <w:lastRenderedPageBreak/>
        <w:t>του έργου, ήτοι, χωρίς να είναι «εγκεκριμένος», σύμφωνα με τις προϋποθέσεις της παρ. 1.</w:t>
      </w:r>
    </w:p>
    <w:p w14:paraId="7D2C84E8" w14:textId="77777777" w:rsidR="004F59BF" w:rsidRPr="00907DB3" w:rsidRDefault="004F59BF" w:rsidP="004F59BF">
      <w:pPr>
        <w:jc w:val="both"/>
        <w:rPr>
          <w:rFonts w:ascii="Times New Roman" w:eastAsia="Times New Roman" w:hAnsi="Times New Roman" w:cs="Times New Roman"/>
          <w:b/>
          <w:bCs/>
          <w:sz w:val="24"/>
          <w:szCs w:val="24"/>
          <w:lang w:eastAsia="el-GR"/>
        </w:rPr>
      </w:pPr>
    </w:p>
    <w:p w14:paraId="438997B6" w14:textId="33790D15" w:rsidR="004F59BF" w:rsidRPr="00907DB3" w:rsidRDefault="004F59BF" w:rsidP="004F59BF">
      <w:pPr>
        <w:jc w:val="both"/>
        <w:rPr>
          <w:rFonts w:ascii="Times New Roman" w:eastAsia="Times New Roman" w:hAnsi="Times New Roman" w:cs="Times New Roman"/>
          <w:b/>
          <w:bCs/>
          <w:sz w:val="24"/>
          <w:szCs w:val="24"/>
          <w:lang w:eastAsia="el-GR"/>
        </w:rPr>
      </w:pPr>
      <w:r w:rsidRPr="00907DB3">
        <w:rPr>
          <w:rFonts w:ascii="Times New Roman" w:eastAsia="Times New Roman" w:hAnsi="Times New Roman" w:cs="Times New Roman"/>
          <w:b/>
          <w:bCs/>
          <w:sz w:val="24"/>
          <w:szCs w:val="24"/>
          <w:lang w:eastAsia="el-GR"/>
        </w:rPr>
        <w:t xml:space="preserve">Πρόσφατη Νομολογία περί Υπεργολαβίας </w:t>
      </w:r>
    </w:p>
    <w:p w14:paraId="108DF677" w14:textId="77777777" w:rsidR="004F59BF" w:rsidRPr="00907DB3" w:rsidRDefault="004F59BF" w:rsidP="004F59BF">
      <w:pPr>
        <w:jc w:val="both"/>
        <w:rPr>
          <w:rFonts w:ascii="Times New Roman" w:hAnsi="Times New Roman" w:cs="Times New Roman"/>
          <w:b/>
          <w:bCs/>
          <w:i/>
          <w:iCs/>
          <w:color w:val="7030A0"/>
          <w:sz w:val="24"/>
          <w:szCs w:val="24"/>
        </w:rPr>
      </w:pPr>
      <w:r w:rsidRPr="00907DB3">
        <w:rPr>
          <w:rFonts w:ascii="Times New Roman" w:hAnsi="Times New Roman" w:cs="Times New Roman"/>
          <w:b/>
          <w:bCs/>
          <w:i/>
          <w:iCs/>
          <w:color w:val="7030A0"/>
          <w:sz w:val="24"/>
          <w:szCs w:val="24"/>
        </w:rPr>
        <w:t xml:space="preserve">718/2023 ΔΕΦ ΑΘ </w:t>
      </w:r>
    </w:p>
    <w:p w14:paraId="3134E270" w14:textId="77777777" w:rsidR="004F59BF" w:rsidRPr="00907DB3" w:rsidRDefault="004F59BF" w:rsidP="004F59BF">
      <w:pPr>
        <w:jc w:val="both"/>
        <w:rPr>
          <w:rFonts w:ascii="Times New Roman" w:hAnsi="Times New Roman" w:cs="Times New Roman"/>
          <w:sz w:val="24"/>
          <w:szCs w:val="24"/>
        </w:rPr>
      </w:pPr>
      <w:r w:rsidRPr="00907DB3">
        <w:rPr>
          <w:rFonts w:ascii="Times New Roman" w:hAnsi="Times New Roman" w:cs="Times New Roman"/>
          <w:sz w:val="24"/>
          <w:szCs w:val="24"/>
        </w:rPr>
        <w:t>Δημόσιες συμβάσεις. Υπεργολαβία. Ο οικονομικός φορέας, ο οποίος προτίθεται να αναθέσει τμήμα του αντικειμένου της σύμβασης υπό μορφή υπεργολαβίας σε τρίτους, υποχρεούται να αναφέρει στην προσφορά του το τμήμα της σύμβασης που θα αναθέσει, καθώς και τους υπεργολάβους που προτείνει. Στο ΕΕΕΣ που υποβάλλει υποχρεούται να δηλώσει την πρόθεσή του για ανάθεση υπεργολαβίας, υποβάλλοντας μαζί με το δικό του ΕΕΕΣ και ΕΕΕΣ του υπεργολάβου. Εν προκειμένω, οι οικονομικές προσφορές των οικονομικών φορέων, οι οποίες επισυνάφθηκαν στα έγγραφα αιτιολόγησης της οικονομικής προσφοράς του αιτούντος, φέρουν τα χαρακτηριστικά γνωρίσματα της ανάθεσης υπό μορφή υπεργολαβίας των αντίστοιχων επιμέρους εργασιών του υπό ανάθεση έργου στους πιο πάνω τρίτους οικονομικούς φορείς, βάσει της οποίας θα αναλάβουν αυτοί έναντι του αναδόχου την εκτέλεση των εργασιών. Η παράλειψη δήλωσης στο ΕΕΕΣ, το οποίο υπέβαλε ο αιτών, της πρόθεσής του να αναθέσει σε υπεργολάβους μέρος των εργασιών που περιλαμβάνονται στο αντικείμενο της επίδικης σύμβασης, καθώς και η παράλειψη υποβολής ξεχωριστού ΕΕΕΣ για τους φορείς αυτούς καθιστούν την προσφορά του μη νόμιμη. Απόρριψη αίτησης. Δεκτή η παρέμβαση.</w:t>
      </w:r>
    </w:p>
    <w:p w14:paraId="07A44995" w14:textId="77777777" w:rsidR="004F59BF" w:rsidRPr="00907DB3" w:rsidRDefault="004F59BF" w:rsidP="004F59BF">
      <w:pPr>
        <w:jc w:val="both"/>
        <w:rPr>
          <w:rFonts w:ascii="Times New Roman" w:hAnsi="Times New Roman" w:cs="Times New Roman"/>
          <w:b/>
          <w:bCs/>
          <w:i/>
          <w:iCs/>
          <w:color w:val="7030A0"/>
          <w:sz w:val="24"/>
          <w:szCs w:val="24"/>
        </w:rPr>
      </w:pPr>
      <w:r w:rsidRPr="00907DB3">
        <w:rPr>
          <w:rFonts w:ascii="Times New Roman" w:hAnsi="Times New Roman" w:cs="Times New Roman"/>
          <w:b/>
          <w:bCs/>
          <w:i/>
          <w:iCs/>
          <w:color w:val="7030A0"/>
          <w:sz w:val="24"/>
          <w:szCs w:val="24"/>
        </w:rPr>
        <w:t xml:space="preserve">1642/2023 ΔΕΦ ΑΘ (ΑΚΥΡ) </w:t>
      </w:r>
    </w:p>
    <w:p w14:paraId="2D056893" w14:textId="6A0390E7" w:rsidR="004F59BF" w:rsidRPr="00907DB3" w:rsidRDefault="004F59BF" w:rsidP="004F59BF">
      <w:pPr>
        <w:jc w:val="both"/>
        <w:rPr>
          <w:rFonts w:ascii="Times New Roman" w:hAnsi="Times New Roman" w:cs="Times New Roman"/>
          <w:sz w:val="24"/>
          <w:szCs w:val="24"/>
        </w:rPr>
      </w:pPr>
      <w:r w:rsidRPr="00907DB3">
        <w:rPr>
          <w:rFonts w:ascii="Times New Roman" w:hAnsi="Times New Roman" w:cs="Times New Roman"/>
          <w:sz w:val="24"/>
          <w:szCs w:val="24"/>
        </w:rPr>
        <w:t xml:space="preserve">Αίτηση ακύρωσης - αναστολής κατά απόφασης της Ενιαίας Αρχής Δημοσίων Συμβάσεων (Ε.Α.ΔΗ.ΣΥ) επί διαγωνισμού ανάθεσης σύμβασης κρατικής προμήθειας. Η άνω ενιαία αρχή συστάθηκε διά του νόμου 4912/2022 και φέρει αυτοτελή ικανότητα διαδίκου. Αν διά απόφασης της δέχεται προδικαστική προσφυγή υποψηφίου αναδόχου, μόνο εκείνη νομιμοποιείται σε σχετική δίκη ενώ επί αντίστοιχης απόρριψης αυτής νομιμοποιείται από κοινού με την αναθέτουσα αρχή. Δημόσιες Συμβάσεις κατά Ν. 4412/2016. Σχετικά με την τεχνική και επαγγελματική ικανότητα υποψηφίου αναδόχου δημοσίου έργου ο τελευταίος μπορεί να στηριχθεί στις ικανότητες τρίτων φορέων που θα του παρέχουν τους αναγκαίους πόρους για την εκπόνηση του έργου.  Οι άνω φορείς ελέγχονται από την αναθέτουσα αρχή για την πλήρωση των αναγκαίων βάσει της προκήρυξης κριτηρίων επιλογής και μη συνδρομής λόγων αποκλεισμού τους από την διαδικασία. Μέσα απόδειξης των άνω στοιχείων και κρίσιμος χρόνος συνδρομής τους. Πιθανές κατηγορίες κριτηρίων επιλογής αναδόχου δημόσιας σύμβασης. Διαδικασία συμπλήρωσης αυτών στο στάδιο αξιολόγησης προσφορών. Ευρωπαϊκό Ενιαίο Έγγραφο Σύμβασης (Ε.Ε.Ε.Σ.). Υπόχρεοι συμπλήρωσης και προσκόμισης αυτού επί δημοσίων συμβάσεων και περιεχόμενο αυτού. </w:t>
      </w:r>
      <w:r w:rsidRPr="00907DB3">
        <w:rPr>
          <w:rFonts w:ascii="Times New Roman" w:hAnsi="Times New Roman" w:cs="Times New Roman"/>
          <w:b/>
          <w:bCs/>
          <w:sz w:val="24"/>
          <w:szCs w:val="24"/>
        </w:rPr>
        <w:t>Εφόσον ο προσφέρων υποψήφιος ανάδοχος πρόκειται να εκπονήσει μέρος του έργου μέσω υπεργολάβων οφείλει να αναφέρει στην σχετική προσφορά του όχι μόνο το ποσοστό της υπεργολαβίας αλλά το συγκεκριμένο τμήμα της σύμβασης που θα ανατεθεί στον υπεργολάβο από τον συμμετέχοντα φορέα. Ο υπεργολάβος ή οι υπεργολάβοι οφείλουν δε να αποδεικνύουν πως δεν συντρέχουν λόγοι αποκλεισμού τους από τον διαγωνισμό κατά τα οριζόμενα στην οικεία προκήρυξη.</w:t>
      </w:r>
      <w:r w:rsidRPr="00907DB3">
        <w:rPr>
          <w:rFonts w:ascii="Times New Roman" w:hAnsi="Times New Roman" w:cs="Times New Roman"/>
          <w:sz w:val="24"/>
          <w:szCs w:val="24"/>
        </w:rPr>
        <w:t xml:space="preserve"> Λόγοι αντικατάστασης των τελευταίων. Αντίστοιχη ρύθμιση επί δημοσίων συμβάσεων όπου ο υποψήφιος φορέας πρόκειται να αναθέσει σε υπεργολάβους άνω του 30% της συνολικής αξίας της σύμβασης. Δέχεται εν μέρει αίτηση.</w:t>
      </w:r>
    </w:p>
    <w:p w14:paraId="0DA8C9BC" w14:textId="77777777" w:rsidR="004F59BF" w:rsidRPr="00907DB3" w:rsidRDefault="004F59BF" w:rsidP="004F59BF">
      <w:pPr>
        <w:jc w:val="both"/>
        <w:rPr>
          <w:rFonts w:ascii="Times New Roman" w:hAnsi="Times New Roman" w:cs="Times New Roman"/>
          <w:b/>
          <w:bCs/>
          <w:i/>
          <w:iCs/>
          <w:color w:val="7030A0"/>
          <w:sz w:val="24"/>
          <w:szCs w:val="24"/>
        </w:rPr>
      </w:pPr>
      <w:r w:rsidRPr="00907DB3">
        <w:rPr>
          <w:rFonts w:ascii="Times New Roman" w:hAnsi="Times New Roman" w:cs="Times New Roman"/>
          <w:b/>
          <w:bCs/>
          <w:i/>
          <w:iCs/>
          <w:color w:val="7030A0"/>
          <w:sz w:val="24"/>
          <w:szCs w:val="24"/>
        </w:rPr>
        <w:t xml:space="preserve">1127/2022 ΔΕΦ ΑΘ (ΑΚΥΡ) </w:t>
      </w:r>
    </w:p>
    <w:p w14:paraId="787DD030" w14:textId="595E36B3" w:rsidR="004F59BF" w:rsidRPr="00907DB3" w:rsidRDefault="004F59BF" w:rsidP="004F59BF">
      <w:pPr>
        <w:jc w:val="both"/>
        <w:rPr>
          <w:rFonts w:ascii="Times New Roman" w:hAnsi="Times New Roman" w:cs="Times New Roman"/>
          <w:sz w:val="24"/>
          <w:szCs w:val="24"/>
        </w:rPr>
      </w:pPr>
      <w:r w:rsidRPr="00907DB3">
        <w:rPr>
          <w:rFonts w:ascii="Times New Roman" w:hAnsi="Times New Roman" w:cs="Times New Roman"/>
          <w:sz w:val="24"/>
          <w:szCs w:val="24"/>
        </w:rPr>
        <w:t xml:space="preserve">Αίτηση ακύρωσης-αναστολής κατά Αρχής Εξέτασης Προδικαστικών Προσφυγών. Δημόσιος διαγωνισμός. Η ανάθεση της εκτέλεσης τμήματος της </w:t>
      </w:r>
      <w:proofErr w:type="spellStart"/>
      <w:r w:rsidRPr="00907DB3">
        <w:rPr>
          <w:rFonts w:ascii="Times New Roman" w:hAnsi="Times New Roman" w:cs="Times New Roman"/>
          <w:sz w:val="24"/>
          <w:szCs w:val="24"/>
        </w:rPr>
        <w:t>συναφθησόμενης</w:t>
      </w:r>
      <w:proofErr w:type="spellEnd"/>
      <w:r w:rsidRPr="00907DB3">
        <w:rPr>
          <w:rFonts w:ascii="Times New Roman" w:hAnsi="Times New Roman" w:cs="Times New Roman"/>
          <w:sz w:val="24"/>
          <w:szCs w:val="24"/>
        </w:rPr>
        <w:t xml:space="preserve"> σύμβασης σε οικονομικούς φορείς μη συνδεόμενους με την αναθέτουσα αρχή με νομικό δεσμό, αποτελεί ανάθεση τμήματος της σύμβασης υπό μορφή υπεργολαβίας, ανεξαρτήτως της ειδικότερης νομικής φύσης της σχέσης. Κατά την άποψη που επικράτησε στο Δικαστήριο, όταν ο υποψήφιος οικονομικός φορέας αδυνατεί να ανταποκριθεί με τα δικά του μέσα στις απαιτήσεις εκτέλεσης της σύμβασης, την οποία επιθυμεί να συνάψει, έχει το δικαίωμα να συμμετέχει στην διαδικασία ανάθεσης με προσφυγή στις δυνατότητες ενός τρίτου φορέα για την απόδειξη της </w:t>
      </w:r>
      <w:proofErr w:type="spellStart"/>
      <w:r w:rsidRPr="00907DB3">
        <w:rPr>
          <w:rFonts w:ascii="Times New Roman" w:hAnsi="Times New Roman" w:cs="Times New Roman"/>
          <w:sz w:val="24"/>
          <w:szCs w:val="24"/>
        </w:rPr>
        <w:t>καταλληλότητάς</w:t>
      </w:r>
      <w:proofErr w:type="spellEnd"/>
      <w:r w:rsidRPr="00907DB3">
        <w:rPr>
          <w:rFonts w:ascii="Times New Roman" w:hAnsi="Times New Roman" w:cs="Times New Roman"/>
          <w:sz w:val="24"/>
          <w:szCs w:val="24"/>
        </w:rPr>
        <w:t xml:space="preserve"> του. Ανάγκη προσκόμισης κατάλληλων δικαιολογητικών. Αντίθετη μειοψηφία. Δέχεται την αίτηση.</w:t>
      </w:r>
    </w:p>
    <w:p w14:paraId="3CFF21E5" w14:textId="6E5CE791" w:rsidR="00204869" w:rsidRPr="00907DB3" w:rsidRDefault="00204869" w:rsidP="00227DE5">
      <w:pPr>
        <w:widowControl w:val="0"/>
        <w:autoSpaceDE w:val="0"/>
        <w:autoSpaceDN w:val="0"/>
        <w:adjustRightInd w:val="0"/>
        <w:spacing w:after="0" w:line="240" w:lineRule="auto"/>
        <w:ind w:right="-57"/>
        <w:jc w:val="both"/>
        <w:rPr>
          <w:rFonts w:ascii="Times New Roman" w:eastAsia="Times New Roman" w:hAnsi="Times New Roman" w:cs="Times New Roman"/>
          <w:bCs/>
          <w:i/>
          <w:iCs/>
          <w:sz w:val="24"/>
          <w:szCs w:val="24"/>
          <w:lang w:eastAsia="el-GR"/>
        </w:rPr>
      </w:pPr>
      <w:r w:rsidRPr="00907DB3">
        <w:rPr>
          <w:rFonts w:ascii="Times New Roman" w:eastAsia="Times New Roman" w:hAnsi="Times New Roman" w:cs="Times New Roman"/>
          <w:b/>
          <w:bCs/>
          <w:sz w:val="24"/>
          <w:szCs w:val="24"/>
          <w:lang w:eastAsia="el-GR"/>
        </w:rPr>
        <w:t>Σχετική Νομολογία</w:t>
      </w:r>
      <w:r w:rsidR="004F59BF" w:rsidRPr="00907DB3">
        <w:rPr>
          <w:rFonts w:ascii="Times New Roman" w:eastAsia="Times New Roman" w:hAnsi="Times New Roman" w:cs="Times New Roman"/>
          <w:b/>
          <w:bCs/>
          <w:sz w:val="24"/>
          <w:szCs w:val="24"/>
          <w:lang w:eastAsia="el-GR"/>
        </w:rPr>
        <w:t xml:space="preserve"> </w:t>
      </w:r>
      <w:r w:rsidR="004F59BF" w:rsidRPr="00907DB3">
        <w:rPr>
          <w:rFonts w:ascii="Times New Roman" w:eastAsia="Times New Roman" w:hAnsi="Times New Roman" w:cs="Times New Roman"/>
          <w:bCs/>
          <w:sz w:val="24"/>
          <w:szCs w:val="24"/>
          <w:lang w:eastAsia="el-GR"/>
        </w:rPr>
        <w:t>(πριν την τροποποίηση με το άρθρο 81 Ν.4782/2021 (ΦΕΚ Α 36/09.03.2021)</w:t>
      </w:r>
      <w:r w:rsidRPr="00907DB3">
        <w:rPr>
          <w:rFonts w:ascii="Times New Roman" w:eastAsia="Times New Roman" w:hAnsi="Times New Roman" w:cs="Times New Roman"/>
          <w:bCs/>
          <w:sz w:val="24"/>
          <w:szCs w:val="24"/>
          <w:lang w:eastAsia="el-GR"/>
        </w:rPr>
        <w:t>:</w:t>
      </w:r>
    </w:p>
    <w:p w14:paraId="3A0F71FE" w14:textId="16831898" w:rsidR="00227DE5" w:rsidRPr="00907DB3" w:rsidRDefault="00227DE5" w:rsidP="00227DE5">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sz w:val="24"/>
          <w:szCs w:val="24"/>
          <w:lang w:eastAsia="el-GR"/>
        </w:rPr>
        <w:t xml:space="preserve">Κατά την </w:t>
      </w:r>
      <w:hyperlink r:id="rId6" w:tgtFrame="https://dimosnet.gr/blog/law_explanation/%cf%85%cf%80%ce%b5%cf%81%ce%b3%ce%bf%ce%bb%ce%b1%ce%b2%ce%af%ce%b1-%cf%80%cf%84%cf%8e%cf%87%ce%b5%cf%85%cf%83%ce%b7-%ce%b8%ce%ac%ce%bd%ce%b1%cf%84%ce%bf%cf%82/_blank" w:history="1">
        <w:r w:rsidRPr="00907DB3">
          <w:rPr>
            <w:rFonts w:ascii="Times New Roman" w:eastAsia="Times New Roman" w:hAnsi="Times New Roman" w:cs="Times New Roman"/>
            <w:i/>
            <w:iCs/>
            <w:sz w:val="24"/>
            <w:szCs w:val="24"/>
            <w:lang w:eastAsia="el-GR"/>
          </w:rPr>
          <w:t xml:space="preserve">Ελ. Συν. </w:t>
        </w:r>
        <w:proofErr w:type="spellStart"/>
        <w:r w:rsidRPr="00907DB3">
          <w:rPr>
            <w:rFonts w:ascii="Times New Roman" w:eastAsia="Times New Roman" w:hAnsi="Times New Roman" w:cs="Times New Roman"/>
            <w:i/>
            <w:iCs/>
            <w:sz w:val="24"/>
            <w:szCs w:val="24"/>
            <w:lang w:eastAsia="el-GR"/>
          </w:rPr>
          <w:t>Κλιμ</w:t>
        </w:r>
        <w:proofErr w:type="spellEnd"/>
        <w:r w:rsidRPr="00907DB3">
          <w:rPr>
            <w:rFonts w:ascii="Times New Roman" w:eastAsia="Times New Roman" w:hAnsi="Times New Roman" w:cs="Times New Roman"/>
            <w:i/>
            <w:iCs/>
            <w:sz w:val="24"/>
            <w:szCs w:val="24"/>
            <w:lang w:eastAsia="el-GR"/>
          </w:rPr>
          <w:t xml:space="preserve">. </w:t>
        </w:r>
        <w:proofErr w:type="spellStart"/>
        <w:r w:rsidRPr="00907DB3">
          <w:rPr>
            <w:rFonts w:ascii="Times New Roman" w:eastAsia="Times New Roman" w:hAnsi="Times New Roman" w:cs="Times New Roman"/>
            <w:i/>
            <w:iCs/>
            <w:sz w:val="24"/>
            <w:szCs w:val="24"/>
            <w:lang w:eastAsia="el-GR"/>
          </w:rPr>
          <w:t>Τμ</w:t>
        </w:r>
        <w:proofErr w:type="spellEnd"/>
        <w:r w:rsidRPr="00907DB3">
          <w:rPr>
            <w:rFonts w:ascii="Times New Roman" w:eastAsia="Times New Roman" w:hAnsi="Times New Roman" w:cs="Times New Roman"/>
            <w:i/>
            <w:iCs/>
            <w:sz w:val="24"/>
            <w:szCs w:val="24"/>
            <w:lang w:eastAsia="el-GR"/>
          </w:rPr>
          <w:t>. 7 Πράξη 135/2018</w:t>
        </w:r>
      </w:hyperlink>
      <w:r w:rsidRPr="00907DB3">
        <w:rPr>
          <w:rFonts w:ascii="Times New Roman" w:eastAsia="Times New Roman" w:hAnsi="Times New Roman" w:cs="Times New Roman"/>
          <w:sz w:val="24"/>
          <w:szCs w:val="24"/>
          <w:lang w:eastAsia="el-GR"/>
        </w:rPr>
        <w:t xml:space="preserve"> «Μη νόμιμη δαπάνη διότι του εν λόγω </w:t>
      </w:r>
      <w:proofErr w:type="spellStart"/>
      <w:r w:rsidRPr="00907DB3">
        <w:rPr>
          <w:rFonts w:ascii="Times New Roman" w:eastAsia="Times New Roman" w:hAnsi="Times New Roman" w:cs="Times New Roman"/>
          <w:sz w:val="24"/>
          <w:szCs w:val="24"/>
          <w:lang w:eastAsia="el-GR"/>
        </w:rPr>
        <w:t>υπεργολαβικού</w:t>
      </w:r>
      <w:proofErr w:type="spellEnd"/>
      <w:r w:rsidRPr="00907DB3">
        <w:rPr>
          <w:rFonts w:ascii="Times New Roman" w:eastAsia="Times New Roman" w:hAnsi="Times New Roman" w:cs="Times New Roman"/>
          <w:sz w:val="24"/>
          <w:szCs w:val="24"/>
          <w:lang w:eastAsia="el-GR"/>
        </w:rPr>
        <w:t xml:space="preserve"> συμφωνητικού και της εκτέλεσης του έργου από τον υπεργολάβο δεν προηγήθηκε απόφαση του αρμοδίου δημοτικού οργάνου, με την οποία να εγκρίνεται η εκ μέρους του αναδόχου ανάθεση σ’ αυτόν της εκτέλεσης του αντικειμένου της σύμβασης (άρθρα 165-166 ν. 4412/2016) - Συγγνωστή πλάνη».</w:t>
      </w:r>
    </w:p>
    <w:p w14:paraId="6DD5DCC8" w14:textId="2AA8D7A4" w:rsidR="00227DE5" w:rsidRPr="00907DB3" w:rsidRDefault="00227DE5" w:rsidP="0022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907DB3">
        <w:rPr>
          <w:rFonts w:ascii="Times New Roman" w:eastAsia="Times New Roman" w:hAnsi="Times New Roman" w:cs="Times New Roman"/>
          <w:sz w:val="24"/>
          <w:szCs w:val="24"/>
          <w:lang w:eastAsia="el-GR"/>
        </w:rPr>
        <w:t xml:space="preserve">Κατά την </w:t>
      </w:r>
      <w:r w:rsidRPr="00907DB3">
        <w:rPr>
          <w:rFonts w:ascii="Times New Roman" w:eastAsia="Times New Roman" w:hAnsi="Times New Roman" w:cs="Times New Roman"/>
          <w:i/>
          <w:iCs/>
          <w:sz w:val="24"/>
          <w:szCs w:val="24"/>
          <w:lang w:eastAsia="el-GR"/>
        </w:rPr>
        <w:t>Ελ. Συν Τμήμα Ι 1413/2017</w:t>
      </w:r>
      <w:r w:rsidRPr="00907DB3">
        <w:rPr>
          <w:rFonts w:ascii="Times New Roman" w:eastAsia="Times New Roman" w:hAnsi="Times New Roman" w:cs="Times New Roman"/>
          <w:sz w:val="24"/>
          <w:szCs w:val="24"/>
          <w:lang w:eastAsia="el-GR"/>
        </w:rPr>
        <w:t xml:space="preserve"> «Η μη νόμιμη σύσταση υπεργολαβίας συνιστά παρατυπία που επηρέασε την εκτέλεση του έργου και καθιστά αδικαιολόγητη την εκταμίευση ποσών από τον κοινοτικό προϋπολογισμό».</w:t>
      </w:r>
    </w:p>
    <w:p w14:paraId="31890B4E" w14:textId="77777777" w:rsidR="004B6A9E" w:rsidRPr="00907DB3" w:rsidRDefault="004B6A9E" w:rsidP="0022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sectPr w:rsidR="004B6A9E" w:rsidRPr="00907D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FC"/>
    <w:rsid w:val="00204869"/>
    <w:rsid w:val="00227DE5"/>
    <w:rsid w:val="004B6A9E"/>
    <w:rsid w:val="004F59BF"/>
    <w:rsid w:val="005211FC"/>
    <w:rsid w:val="00535143"/>
    <w:rsid w:val="005C1633"/>
    <w:rsid w:val="005C213E"/>
    <w:rsid w:val="006B385B"/>
    <w:rsid w:val="00907DB3"/>
    <w:rsid w:val="00A04C28"/>
    <w:rsid w:val="00A907EF"/>
    <w:rsid w:val="00C17918"/>
    <w:rsid w:val="00DA02D5"/>
    <w:rsid w:val="00EF24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2170"/>
  <w15:chartTrackingRefBased/>
  <w15:docId w15:val="{888ED610-C10E-4DC3-9A0A-A5005B00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
    <w:name w:val="Hyperlink"/>
    <w:basedOn w:val="a0"/>
    <w:uiPriority w:val="99"/>
    <w:unhideWhenUsed/>
    <w:rsid w:val="005211FC"/>
    <w:rPr>
      <w:color w:val="0563C1" w:themeColor="hyperlink"/>
      <w:u w:val="single"/>
    </w:rPr>
  </w:style>
  <w:style w:type="character" w:customStyle="1" w:styleId="UnresolvedMention">
    <w:name w:val="Unresolved Mention"/>
    <w:basedOn w:val="a0"/>
    <w:uiPriority w:val="99"/>
    <w:semiHidden/>
    <w:unhideWhenUsed/>
    <w:rsid w:val="0052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523">
      <w:bodyDiv w:val="1"/>
      <w:marLeft w:val="0"/>
      <w:marRight w:val="0"/>
      <w:marTop w:val="0"/>
      <w:marBottom w:val="0"/>
      <w:divBdr>
        <w:top w:val="none" w:sz="0" w:space="0" w:color="auto"/>
        <w:left w:val="none" w:sz="0" w:space="0" w:color="auto"/>
        <w:bottom w:val="none" w:sz="0" w:space="0" w:color="auto"/>
        <w:right w:val="none" w:sz="0" w:space="0" w:color="auto"/>
      </w:divBdr>
    </w:div>
    <w:div w:id="380128765">
      <w:bodyDiv w:val="1"/>
      <w:marLeft w:val="0"/>
      <w:marRight w:val="0"/>
      <w:marTop w:val="0"/>
      <w:marBottom w:val="0"/>
      <w:divBdr>
        <w:top w:val="none" w:sz="0" w:space="0" w:color="auto"/>
        <w:left w:val="none" w:sz="0" w:space="0" w:color="auto"/>
        <w:bottom w:val="none" w:sz="0" w:space="0" w:color="auto"/>
        <w:right w:val="none" w:sz="0" w:space="0" w:color="auto"/>
      </w:divBdr>
    </w:div>
    <w:div w:id="1112478872">
      <w:bodyDiv w:val="1"/>
      <w:marLeft w:val="0"/>
      <w:marRight w:val="0"/>
      <w:marTop w:val="0"/>
      <w:marBottom w:val="0"/>
      <w:divBdr>
        <w:top w:val="none" w:sz="0" w:space="0" w:color="auto"/>
        <w:left w:val="none" w:sz="0" w:space="0" w:color="auto"/>
        <w:bottom w:val="none" w:sz="0" w:space="0" w:color="auto"/>
        <w:right w:val="none" w:sz="0" w:space="0" w:color="auto"/>
      </w:divBdr>
    </w:div>
    <w:div w:id="1865895459">
      <w:bodyDiv w:val="1"/>
      <w:marLeft w:val="0"/>
      <w:marRight w:val="0"/>
      <w:marTop w:val="0"/>
      <w:marBottom w:val="0"/>
      <w:divBdr>
        <w:top w:val="none" w:sz="0" w:space="0" w:color="auto"/>
        <w:left w:val="none" w:sz="0" w:space="0" w:color="auto"/>
        <w:bottom w:val="none" w:sz="0" w:space="0" w:color="auto"/>
        <w:right w:val="none" w:sz="0" w:space="0" w:color="auto"/>
      </w:divBdr>
      <w:divsChild>
        <w:div w:id="1418332409">
          <w:marLeft w:val="0"/>
          <w:marRight w:val="0"/>
          <w:marTop w:val="0"/>
          <w:marBottom w:val="0"/>
          <w:divBdr>
            <w:top w:val="none" w:sz="0" w:space="0" w:color="auto"/>
            <w:left w:val="none" w:sz="0" w:space="0" w:color="auto"/>
            <w:bottom w:val="none" w:sz="0" w:space="0" w:color="auto"/>
            <w:right w:val="none" w:sz="0" w:space="0" w:color="auto"/>
          </w:divBdr>
          <w:divsChild>
            <w:div w:id="2051225586">
              <w:marLeft w:val="0"/>
              <w:marRight w:val="0"/>
              <w:marTop w:val="0"/>
              <w:marBottom w:val="0"/>
              <w:divBdr>
                <w:top w:val="none" w:sz="0" w:space="0" w:color="auto"/>
                <w:left w:val="none" w:sz="0" w:space="0" w:color="auto"/>
                <w:bottom w:val="none" w:sz="0" w:space="0" w:color="auto"/>
                <w:right w:val="none" w:sz="0" w:space="0" w:color="auto"/>
              </w:divBdr>
            </w:div>
          </w:divsChild>
        </w:div>
        <w:div w:id="1686709103">
          <w:marLeft w:val="0"/>
          <w:marRight w:val="0"/>
          <w:marTop w:val="0"/>
          <w:marBottom w:val="0"/>
          <w:divBdr>
            <w:top w:val="none" w:sz="0" w:space="0" w:color="auto"/>
            <w:left w:val="none" w:sz="0" w:space="0" w:color="auto"/>
            <w:bottom w:val="none" w:sz="0" w:space="0" w:color="auto"/>
            <w:right w:val="none" w:sz="0" w:space="0" w:color="auto"/>
          </w:divBdr>
          <w:divsChild>
            <w:div w:id="970095247">
              <w:marLeft w:val="0"/>
              <w:marRight w:val="0"/>
              <w:marTop w:val="0"/>
              <w:marBottom w:val="0"/>
              <w:divBdr>
                <w:top w:val="none" w:sz="0" w:space="0" w:color="auto"/>
                <w:left w:val="none" w:sz="0" w:space="0" w:color="auto"/>
                <w:bottom w:val="none" w:sz="0" w:space="0" w:color="auto"/>
                <w:right w:val="none" w:sz="0" w:space="0" w:color="auto"/>
              </w:divBdr>
            </w:div>
          </w:divsChild>
        </w:div>
        <w:div w:id="1476216918">
          <w:marLeft w:val="0"/>
          <w:marRight w:val="0"/>
          <w:marTop w:val="0"/>
          <w:marBottom w:val="0"/>
          <w:divBdr>
            <w:top w:val="none" w:sz="0" w:space="0" w:color="auto"/>
            <w:left w:val="none" w:sz="0" w:space="0" w:color="auto"/>
            <w:bottom w:val="none" w:sz="0" w:space="0" w:color="auto"/>
            <w:right w:val="none" w:sz="0" w:space="0" w:color="auto"/>
          </w:divBdr>
          <w:divsChild>
            <w:div w:id="1921133220">
              <w:marLeft w:val="0"/>
              <w:marRight w:val="0"/>
              <w:marTop w:val="0"/>
              <w:marBottom w:val="0"/>
              <w:divBdr>
                <w:top w:val="none" w:sz="0" w:space="0" w:color="auto"/>
                <w:left w:val="none" w:sz="0" w:space="0" w:color="auto"/>
                <w:bottom w:val="none" w:sz="0" w:space="0" w:color="auto"/>
                <w:right w:val="none" w:sz="0" w:space="0" w:color="auto"/>
              </w:divBdr>
            </w:div>
          </w:divsChild>
        </w:div>
        <w:div w:id="1014922094">
          <w:marLeft w:val="0"/>
          <w:marRight w:val="0"/>
          <w:marTop w:val="0"/>
          <w:marBottom w:val="0"/>
          <w:divBdr>
            <w:top w:val="none" w:sz="0" w:space="0" w:color="auto"/>
            <w:left w:val="none" w:sz="0" w:space="0" w:color="auto"/>
            <w:bottom w:val="none" w:sz="0" w:space="0" w:color="auto"/>
            <w:right w:val="none" w:sz="0" w:space="0" w:color="auto"/>
          </w:divBdr>
          <w:divsChild>
            <w:div w:id="401022329">
              <w:marLeft w:val="0"/>
              <w:marRight w:val="0"/>
              <w:marTop w:val="0"/>
              <w:marBottom w:val="0"/>
              <w:divBdr>
                <w:top w:val="none" w:sz="0" w:space="0" w:color="auto"/>
                <w:left w:val="none" w:sz="0" w:space="0" w:color="auto"/>
                <w:bottom w:val="none" w:sz="0" w:space="0" w:color="auto"/>
                <w:right w:val="none" w:sz="0" w:space="0" w:color="auto"/>
              </w:divBdr>
            </w:div>
          </w:divsChild>
        </w:div>
        <w:div w:id="1803693695">
          <w:marLeft w:val="0"/>
          <w:marRight w:val="0"/>
          <w:marTop w:val="0"/>
          <w:marBottom w:val="0"/>
          <w:divBdr>
            <w:top w:val="none" w:sz="0" w:space="0" w:color="auto"/>
            <w:left w:val="none" w:sz="0" w:space="0" w:color="auto"/>
            <w:bottom w:val="none" w:sz="0" w:space="0" w:color="auto"/>
            <w:right w:val="none" w:sz="0" w:space="0" w:color="auto"/>
          </w:divBdr>
          <w:divsChild>
            <w:div w:id="1567498208">
              <w:marLeft w:val="0"/>
              <w:marRight w:val="0"/>
              <w:marTop w:val="0"/>
              <w:marBottom w:val="0"/>
              <w:divBdr>
                <w:top w:val="none" w:sz="0" w:space="0" w:color="auto"/>
                <w:left w:val="none" w:sz="0" w:space="0" w:color="auto"/>
                <w:bottom w:val="none" w:sz="0" w:space="0" w:color="auto"/>
                <w:right w:val="none" w:sz="0" w:space="0" w:color="auto"/>
              </w:divBdr>
            </w:div>
          </w:divsChild>
        </w:div>
        <w:div w:id="557515379">
          <w:marLeft w:val="0"/>
          <w:marRight w:val="0"/>
          <w:marTop w:val="0"/>
          <w:marBottom w:val="0"/>
          <w:divBdr>
            <w:top w:val="none" w:sz="0" w:space="0" w:color="auto"/>
            <w:left w:val="none" w:sz="0" w:space="0" w:color="auto"/>
            <w:bottom w:val="none" w:sz="0" w:space="0" w:color="auto"/>
            <w:right w:val="none" w:sz="0" w:space="0" w:color="auto"/>
          </w:divBdr>
          <w:divsChild>
            <w:div w:id="1391270321">
              <w:marLeft w:val="0"/>
              <w:marRight w:val="0"/>
              <w:marTop w:val="0"/>
              <w:marBottom w:val="0"/>
              <w:divBdr>
                <w:top w:val="none" w:sz="0" w:space="0" w:color="auto"/>
                <w:left w:val="none" w:sz="0" w:space="0" w:color="auto"/>
                <w:bottom w:val="none" w:sz="0" w:space="0" w:color="auto"/>
                <w:right w:val="none" w:sz="0" w:space="0" w:color="auto"/>
              </w:divBdr>
            </w:div>
          </w:divsChild>
        </w:div>
        <w:div w:id="1054042365">
          <w:marLeft w:val="0"/>
          <w:marRight w:val="0"/>
          <w:marTop w:val="0"/>
          <w:marBottom w:val="0"/>
          <w:divBdr>
            <w:top w:val="none" w:sz="0" w:space="0" w:color="auto"/>
            <w:left w:val="none" w:sz="0" w:space="0" w:color="auto"/>
            <w:bottom w:val="none" w:sz="0" w:space="0" w:color="auto"/>
            <w:right w:val="none" w:sz="0" w:space="0" w:color="auto"/>
          </w:divBdr>
          <w:divsChild>
            <w:div w:id="1925383714">
              <w:marLeft w:val="0"/>
              <w:marRight w:val="0"/>
              <w:marTop w:val="0"/>
              <w:marBottom w:val="0"/>
              <w:divBdr>
                <w:top w:val="none" w:sz="0" w:space="0" w:color="auto"/>
                <w:left w:val="none" w:sz="0" w:space="0" w:color="auto"/>
                <w:bottom w:val="none" w:sz="0" w:space="0" w:color="auto"/>
                <w:right w:val="none" w:sz="0" w:space="0" w:color="auto"/>
              </w:divBdr>
            </w:div>
          </w:divsChild>
        </w:div>
        <w:div w:id="1760829975">
          <w:marLeft w:val="0"/>
          <w:marRight w:val="0"/>
          <w:marTop w:val="0"/>
          <w:marBottom w:val="0"/>
          <w:divBdr>
            <w:top w:val="none" w:sz="0" w:space="0" w:color="auto"/>
            <w:left w:val="none" w:sz="0" w:space="0" w:color="auto"/>
            <w:bottom w:val="none" w:sz="0" w:space="0" w:color="auto"/>
            <w:right w:val="none" w:sz="0" w:space="0" w:color="auto"/>
          </w:divBdr>
          <w:divsChild>
            <w:div w:id="14623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net.gr/blog/laws/%CF%80%CF%81%CE%AC%CE%BE%CE%B7-1352018-%CE%BA%CE%BB%CE%B9%CE%BC-%CF%84%CE%BC-7/" TargetMode="External"/><Relationship Id="rId5" Type="http://schemas.openxmlformats.org/officeDocument/2006/relationships/hyperlink" Target="javascript:open_links(677180,788735)" TargetMode="External"/><Relationship Id="rId4" Type="http://schemas.openxmlformats.org/officeDocument/2006/relationships/hyperlink" Target="javascript:open_article_link(788735,'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6377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User</cp:lastModifiedBy>
  <cp:revision>3</cp:revision>
  <dcterms:created xsi:type="dcterms:W3CDTF">2024-02-16T17:42:00Z</dcterms:created>
  <dcterms:modified xsi:type="dcterms:W3CDTF">2025-03-20T15:10:00Z</dcterms:modified>
</cp:coreProperties>
</file>