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FDFD" w14:textId="15228280" w:rsidR="009A594B" w:rsidRPr="009A594B" w:rsidRDefault="003A4428" w:rsidP="009A594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ΘΕΜΑ</w:t>
      </w:r>
      <w:r w:rsidRPr="003A442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: </w:t>
      </w:r>
      <w:r w:rsidR="009A594B" w:rsidRPr="009A594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Δικαίωμα αναδόχου για καταβολή τόκου υπερημερίας</w:t>
      </w:r>
      <w:r w:rsidR="0014162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</w:p>
    <w:p w14:paraId="10C3B646" w14:textId="4CF7F6C4" w:rsidR="009A594B" w:rsidRPr="009A594B" w:rsidRDefault="009A594B" w:rsidP="009A59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A594B">
        <w:rPr>
          <w:rFonts w:ascii="Times New Roman" w:eastAsia="Times New Roman" w:hAnsi="Times New Roman" w:cs="Times New Roman"/>
          <w:sz w:val="24"/>
          <w:szCs w:val="24"/>
          <w:lang w:eastAsia="el-GR"/>
        </w:rPr>
        <w:t>Ημ</w:t>
      </w:r>
      <w:proofErr w:type="spellEnd"/>
      <w:r w:rsidRPr="009A594B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9A594B">
        <w:rPr>
          <w:rFonts w:ascii="Times New Roman" w:eastAsia="Times New Roman" w:hAnsi="Times New Roman" w:cs="Times New Roman"/>
          <w:sz w:val="24"/>
          <w:szCs w:val="24"/>
          <w:lang w:eastAsia="el-GR"/>
        </w:rPr>
        <w:t>νία</w:t>
      </w:r>
      <w:proofErr w:type="spellEnd"/>
      <w:r w:rsidRPr="009A59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υποβολής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3A4428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1</w:t>
      </w:r>
      <w:r w:rsidR="003A4428" w:rsidRPr="003A4428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2</w:t>
      </w:r>
      <w:r w:rsidRPr="003A4428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/0</w:t>
      </w:r>
      <w:r w:rsidR="003A4428" w:rsidRPr="003A4428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5</w:t>
      </w:r>
      <w:r w:rsidRPr="003A4428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/202</w:t>
      </w:r>
      <w:r w:rsidR="003A4428" w:rsidRPr="003A4428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3</w:t>
      </w:r>
    </w:p>
    <w:p w14:paraId="19F70D73" w14:textId="77777777" w:rsidR="009A594B" w:rsidRDefault="009A594B" w:rsidP="009A59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5B5C0A8" w14:textId="0A4506CC" w:rsidR="009A594B" w:rsidRPr="00B47A24" w:rsidRDefault="009A594B" w:rsidP="009A594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B47A2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Ερώτηση </w:t>
      </w:r>
    </w:p>
    <w:p w14:paraId="244188A2" w14:textId="77777777" w:rsidR="00B47A24" w:rsidRDefault="009A594B" w:rsidP="009A59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59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Καλημέρα σας !!! </w:t>
      </w:r>
    </w:p>
    <w:p w14:paraId="457A4272" w14:textId="77777777" w:rsidR="00B47A24" w:rsidRDefault="009A594B" w:rsidP="009A59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59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ήθελα να σας ρωτήσω: </w:t>
      </w:r>
    </w:p>
    <w:p w14:paraId="7553324C" w14:textId="77777777" w:rsidR="00B47A24" w:rsidRDefault="009A594B" w:rsidP="009A59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59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1. Πως προκύπτει το δικαίωμα αναδόχου για καταβολή τόκου υπερημερίας -καταβολή αποζημίωσης για θετικές ζημίες </w:t>
      </w:r>
      <w:proofErr w:type="spellStart"/>
      <w:r w:rsidRPr="009A594B">
        <w:rPr>
          <w:rFonts w:ascii="Times New Roman" w:eastAsia="Times New Roman" w:hAnsi="Times New Roman" w:cs="Times New Roman"/>
          <w:sz w:val="24"/>
          <w:szCs w:val="24"/>
          <w:lang w:eastAsia="el-GR"/>
        </w:rPr>
        <w:t>κλπ</w:t>
      </w:r>
      <w:proofErr w:type="spellEnd"/>
      <w:r w:rsidRPr="009A59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? </w:t>
      </w:r>
    </w:p>
    <w:p w14:paraId="67B7502C" w14:textId="77777777" w:rsidR="00B47A24" w:rsidRDefault="009A594B" w:rsidP="009A59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59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2.Μόνο από καθυστέρηση πληρωμής ??? </w:t>
      </w:r>
    </w:p>
    <w:p w14:paraId="4CC34200" w14:textId="77777777" w:rsidR="00B47A24" w:rsidRDefault="009A594B" w:rsidP="009A59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59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3.Απαιτείται έγγραφη όχληση ή όχι (άρθρο 137 Ν 4412/16- απαιτείται ενώ παρ. Ζ.5 του ν. 4152/2013 (Α’ 107) -χωρίς να απαιτείται όχληση ) ???? </w:t>
      </w:r>
    </w:p>
    <w:p w14:paraId="021C7086" w14:textId="0961F736" w:rsidR="00B47A24" w:rsidRDefault="00B47A24" w:rsidP="009A59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4</w:t>
      </w:r>
      <w:r w:rsidR="009A594B" w:rsidRPr="009A59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Πρέπει να έχει κομμένα παραστατικά ( τιμολόγια- φόρος - κρατήσεις)??? </w:t>
      </w:r>
    </w:p>
    <w:p w14:paraId="66D76F23" w14:textId="77777777" w:rsidR="00B47A24" w:rsidRDefault="00B47A24" w:rsidP="009A59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="009A594B" w:rsidRPr="009A59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Από πότε μετράει η </w:t>
      </w:r>
      <w:proofErr w:type="spellStart"/>
      <w:r w:rsidR="009A594B" w:rsidRPr="009A594B">
        <w:rPr>
          <w:rFonts w:ascii="Times New Roman" w:eastAsia="Times New Roman" w:hAnsi="Times New Roman" w:cs="Times New Roman"/>
          <w:sz w:val="24"/>
          <w:szCs w:val="24"/>
          <w:lang w:eastAsia="el-GR"/>
        </w:rPr>
        <w:t>τοκοφορία</w:t>
      </w:r>
      <w:proofErr w:type="spellEnd"/>
      <w:r w:rsidR="009A594B" w:rsidRPr="009A59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 ημερομηνία παραστατικών </w:t>
      </w:r>
      <w:proofErr w:type="spellStart"/>
      <w:r w:rsidR="009A594B" w:rsidRPr="009A594B">
        <w:rPr>
          <w:rFonts w:ascii="Times New Roman" w:eastAsia="Times New Roman" w:hAnsi="Times New Roman" w:cs="Times New Roman"/>
          <w:sz w:val="24"/>
          <w:szCs w:val="24"/>
          <w:lang w:eastAsia="el-GR"/>
        </w:rPr>
        <w:t>κλπ</w:t>
      </w:r>
      <w:proofErr w:type="spellEnd"/>
      <w:r w:rsidR="009A594B" w:rsidRPr="009A59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</w:p>
    <w:p w14:paraId="59F3E173" w14:textId="71CF8F82" w:rsidR="00997C7E" w:rsidRDefault="009A594B" w:rsidP="009A59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594B">
        <w:rPr>
          <w:rFonts w:ascii="Times New Roman" w:eastAsia="Times New Roman" w:hAnsi="Times New Roman" w:cs="Times New Roman"/>
          <w:sz w:val="24"/>
          <w:szCs w:val="24"/>
          <w:lang w:eastAsia="el-GR"/>
        </w:rPr>
        <w:t>Σας ευχαριστώ</w:t>
      </w:r>
    </w:p>
    <w:p w14:paraId="42C15E2B" w14:textId="0F467FDA" w:rsidR="00B47A24" w:rsidRDefault="00B47A24" w:rsidP="009A59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EA374B6" w14:textId="75388F6E" w:rsidR="00B47A24" w:rsidRDefault="00B47A24" w:rsidP="009A594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B47A2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Απάντηση</w:t>
      </w:r>
    </w:p>
    <w:p w14:paraId="15E36D38" w14:textId="5B72C301" w:rsidR="00B47A24" w:rsidRPr="00B47A24" w:rsidRDefault="00B47A24" w:rsidP="009A594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</w:t>
      </w:r>
      <w:r w:rsidRPr="00B47A2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ποζημίωση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Αναδόχου</w:t>
      </w:r>
      <w:r w:rsidRPr="00B47A2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για τις θετικές του ζημιές</w:t>
      </w:r>
    </w:p>
    <w:p w14:paraId="146B1770" w14:textId="77777777" w:rsidR="004F2190" w:rsidRDefault="00B47A24" w:rsidP="00B47A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Σύμφωνα με την παρ. 1 </w:t>
      </w:r>
      <w:r w:rsidRPr="00B47A24">
        <w:rPr>
          <w:rFonts w:ascii="Times New Roman" w:eastAsia="Times New Roman" w:hAnsi="Times New Roman" w:cs="Times New Roman"/>
          <w:sz w:val="24"/>
          <w:szCs w:val="24"/>
          <w:lang w:eastAsia="el-GR"/>
        </w:rPr>
        <w:t>Άρθρο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Pr="00B47A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137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(«</w:t>
      </w:r>
      <w:r w:rsidRPr="00B47A24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Υπερημερία κυρίου του έργου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»)</w:t>
      </w:r>
      <w:r w:rsidRPr="00B47A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«</w:t>
      </w:r>
      <w:r w:rsidRPr="00B47A24">
        <w:rPr>
          <w:rFonts w:ascii="Times New Roman" w:eastAsia="Times New Roman" w:hAnsi="Times New Roman" w:cs="Times New Roman"/>
          <w:sz w:val="24"/>
          <w:szCs w:val="24"/>
          <w:lang w:eastAsia="el-GR"/>
        </w:rPr>
        <w:t>Αν ο κύριος του έργου καταστεί υπερήμερος ως προς την εκπλήρωση των συμβατικών υποχρεώσεών του, ο ανάδοχος δικαιούται να ζητήσει</w:t>
      </w:r>
      <w:r w:rsidRPr="004F219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αποζημίωση μόνο για τις θετικές του ζημιές</w:t>
      </w:r>
      <w:r w:rsidRPr="00B47A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προκαλούνται μετά την επίδοση από αυτόν σχετικής έγγραφης όχλησης. </w:t>
      </w:r>
    </w:p>
    <w:p w14:paraId="148B00B8" w14:textId="7FF9A1A0" w:rsidR="004F2190" w:rsidRPr="004F2190" w:rsidRDefault="004F2190" w:rsidP="00B47A2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F219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Υποβολή έγγραφης όχλησης </w:t>
      </w:r>
    </w:p>
    <w:p w14:paraId="6EBD4319" w14:textId="004C9209" w:rsidR="00B47A24" w:rsidRPr="00B47A24" w:rsidRDefault="00B47A24" w:rsidP="00B47A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7A24">
        <w:rPr>
          <w:rFonts w:ascii="Times New Roman" w:eastAsia="Times New Roman" w:hAnsi="Times New Roman" w:cs="Times New Roman"/>
          <w:sz w:val="24"/>
          <w:szCs w:val="24"/>
          <w:lang w:eastAsia="el-GR"/>
        </w:rPr>
        <w:t>Η έγγραφη όχληση υποβάλλεται μετά την έναρξη της υπερημερίας του κυρίου του έργου, άλλως είναι πρόωρη και δεν επιφέρει τα έννομα αποτελέσματα της. Η ως άνω έγγραφη όχληση πρέπει να περιέχει κατ’ ελάχιστον, τα πραγματικά περιστατικά που συνιστούν την υπερημερία του κυρίου του έργου, το είδος των θετικών ζημιών των οποίων θα ζητηθεί η αποζημίωση και την ημερήσια αποζημίωση. Όχληση που δεν έχει το περιεχόμενο αυτό δεν επιφέρει έννομες συνέπειες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»</w:t>
      </w:r>
      <w:r w:rsidRPr="00B47A2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6DC41888" w14:textId="77777777" w:rsidR="00B47A24" w:rsidRPr="00B47A24" w:rsidRDefault="00B47A24" w:rsidP="00B47A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63C5811" w14:textId="16FDB1F4" w:rsidR="00B47A24" w:rsidRDefault="00B47A24" w:rsidP="00B47A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7A2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Ως θετικές ζημιές αναγνωρίζονται</w:t>
      </w:r>
      <w:r w:rsidRPr="00B47A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ιδίως, η δαπάνη εγκαταστάσεων, η εξυπηρέτηση εγγυητικών καλής εκτέλεσης, ασφάλισης έργου, φύλαξης εργοταξίου </w:t>
      </w:r>
      <w:proofErr w:type="spellStart"/>
      <w:r w:rsidRPr="00B47A2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σταλίας</w:t>
      </w:r>
      <w:proofErr w:type="spellEnd"/>
      <w:r w:rsidRPr="00B47A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προβλεπόμενου από το οργανόγραμμα προσωπικού, μηχανημάτων, γενικών εξόδων, καθώς και ενδεχόμενων τόκων προκαταβολής. Ιδιαίτερα για την αποζημίωση των γενικών εξόδων λαμβάνεται υπόψη ο μέσος όρος των γενικών εξόδων στο ποσοστό που αντιστοιχεί στο έργο, όπως προκύπτει από τους δημοσιευμένους ισολογισμούς των </w:t>
      </w:r>
      <w:r w:rsidRPr="00B47A24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τελευταίων πέντε (5) ετών και εφαρμόζεται επί της ημερήσιας αξίας του έργου χωρίς ΓΕ+ΟΕ, απρόβλεπτα, αναθεώρηση και ΦΠΑ.</w:t>
      </w:r>
    </w:p>
    <w:p w14:paraId="60D5DD64" w14:textId="77777777" w:rsidR="004F2190" w:rsidRDefault="004F2190" w:rsidP="004F2190">
      <w:pPr>
        <w:pStyle w:val="3"/>
      </w:pPr>
      <w:r>
        <w:t>Περίπτωση καταβολής Τόκου υπερημερίας</w:t>
      </w:r>
    </w:p>
    <w:p w14:paraId="5D0117BC" w14:textId="5276105E" w:rsidR="00B47A24" w:rsidRDefault="004F2190" w:rsidP="004F21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F2190">
        <w:rPr>
          <w:rFonts w:ascii="Times New Roman" w:eastAsia="Times New Roman" w:hAnsi="Times New Roman" w:cs="Times New Roman"/>
          <w:sz w:val="24"/>
          <w:szCs w:val="24"/>
          <w:lang w:eastAsia="el-GR"/>
        </w:rPr>
        <w:t>Η μη έγκαιρη πληρωμή της πιστοποίησης έχει συνέπεια την υποχρέωση καταβολής τόκων υπερημερίας, αν ο ανάδοχος είχε την πρόνοια να απευθύνει ειδική έγγραφη όχληση στον εργοδότη. Ο ανάδοχος μπορεί να διακόψει τις εργασίες, αφού κοινοποιήσει στη Διευθύνουσα Υπηρεσία ειδική έγγραφη δήλωση. (</w:t>
      </w:r>
      <w:hyperlink r:id="rId4" w:tgtFrame="https://dimosnet.gr/blog/law_explanation/%ce%bb%ce%bf%ce%b3%ce%b1%cf%81%ce%b9%ce%b1%cf%83%ce%bc%ce%bf%ce%af-%cf%80%ce%b9%cf%83%cf%84%ce%bf%cf%80%ce%bf%ce%b9%ce%ae%cf%83%ce%b5%ce%b9%cf%82-2/_blank" w:history="1">
        <w:r w:rsidRPr="004F2190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άρθρο 152 παρ. 9 Ν. 4412/2016</w:t>
        </w:r>
      </w:hyperlink>
      <w:r w:rsidRPr="004F2190">
        <w:rPr>
          <w:rFonts w:ascii="Times New Roman" w:eastAsia="Times New Roman" w:hAnsi="Times New Roman" w:cs="Times New Roman"/>
          <w:sz w:val="24"/>
          <w:szCs w:val="24"/>
          <w:lang w:eastAsia="el-GR"/>
        </w:rPr>
        <w:t>). Προϋπόθεση καταβολής τόκων υπερημερίας εκ της συμβάσεως του δημοσίου έργου είναι η υποβολή και μη πληρωμή λογαριασμού εντός της προθεσμίας που θέτει ο νόμος (δίμηνο και όχληση).</w:t>
      </w:r>
    </w:p>
    <w:p w14:paraId="165EB786" w14:textId="4AB358A9" w:rsidR="004F2190" w:rsidRDefault="004F2190" w:rsidP="004F21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D5D2216" w14:textId="408B9B52" w:rsidR="004F2190" w:rsidRDefault="00897002" w:rsidP="004F219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Χρόνος έναρξης</w:t>
      </w:r>
      <w:r w:rsidR="004F2190" w:rsidRPr="004F219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υπολογισμού</w:t>
      </w:r>
      <w:r w:rsidR="004F2190" w:rsidRPr="004F219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="004F2190" w:rsidRPr="004F219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τοκοφορία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ς</w:t>
      </w:r>
      <w:proofErr w:type="spellEnd"/>
    </w:p>
    <w:p w14:paraId="21D3D18A" w14:textId="77777777" w:rsidR="004F2190" w:rsidRDefault="004F2190" w:rsidP="004F2190">
      <w:pPr>
        <w:pStyle w:val="-HTM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Ως προς την έναρξη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τοκοφορίας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εφαρμόζονται οι διατάξεις της νομοθεσίας περί κατασκευής δημοσίων έργων ως ευνοϊκότερες σε σχέση με αυτές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π.δ.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 w:cs="Times New Roman"/>
            <w:sz w:val="24"/>
            <w:szCs w:val="24"/>
          </w:rPr>
          <w:t>166/2003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i/>
          <w:sz w:val="24"/>
          <w:szCs w:val="24"/>
        </w:rPr>
        <w:t>(587/2018 ΔΕΦ ΠΑΤΡ ),</w:t>
      </w:r>
      <w:r>
        <w:rPr>
          <w:rFonts w:ascii="Times New Roman" w:hAnsi="Times New Roman" w:cs="Times New Roman"/>
          <w:sz w:val="24"/>
          <w:szCs w:val="24"/>
        </w:rPr>
        <w:t xml:space="preserve"> σε κάθε δε περίπτωση για την πληρωμή των τόκων απαιτείται Βεβαίωση της οικείας Οικονομικής Υπηρεσίας του φορέα.</w:t>
      </w:r>
    </w:p>
    <w:p w14:paraId="49DF97EA" w14:textId="1DDCE00C" w:rsidR="004F2190" w:rsidRDefault="004F2190" w:rsidP="004F2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Ως προς το επιτόκιο με βάση το οποίο υπολογίζεται το ύψος του τόκου υπερημερίας, εφαρμόζονται οι διατάξεις της παραγράφου Ζ του Ν. 4152/2013. </w:t>
      </w:r>
      <w:proofErr w:type="spellStart"/>
      <w:r>
        <w:rPr>
          <w:rFonts w:ascii="Times New Roman" w:hAnsi="Times New Roman" w:cs="Times New Roman"/>
          <w:sz w:val="24"/>
          <w:szCs w:val="24"/>
        </w:rPr>
        <w:t>Σημειωτέον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ότι η εν λόγω διάταξη περιήλθε στο θεσμικό μας πλαίσιο σε αντικατάσταση των διατάξεων της παρ. 4 του άρθρου 4 του ΠΔ </w:t>
      </w:r>
      <w:hyperlink r:id="rId6" w:history="1">
        <w:r>
          <w:rPr>
            <w:rFonts w:ascii="Times New Roman" w:hAnsi="Times New Roman" w:cs="Times New Roman"/>
            <w:sz w:val="24"/>
            <w:szCs w:val="24"/>
          </w:rPr>
          <w:t>166/2003</w:t>
        </w:r>
      </w:hyperlink>
      <w:r>
        <w:rPr>
          <w:rFonts w:ascii="Times New Roman" w:hAnsi="Times New Roman" w:cs="Times New Roman"/>
          <w:sz w:val="24"/>
          <w:szCs w:val="24"/>
        </w:rPr>
        <w:t>,σε πολλές δε συμβάσεις ο υπολογισμός του τελικού ποσού των τόκων υπερημερίας πραγματοποιήθηκε με τις διατάξεις αυτού.</w:t>
      </w:r>
    </w:p>
    <w:p w14:paraId="3D8BE42E" w14:textId="78877AA2" w:rsidR="00CC0680" w:rsidRPr="00CC0680" w:rsidRDefault="00CC0680" w:rsidP="00CC06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06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διατάξεις του ν. 4152/2013, οι οποίες εφαρμόζονται και στις συμβάσεις σχεδίασης και εκτέλεσης δημοσίων έργων, κατισχύουν, από την έναρξη της ισχύος τους, των διατάξεων του άρθρου 53 παρ. 9 του </w:t>
      </w:r>
      <w:proofErr w:type="spellStart"/>
      <w:r w:rsidRPr="00CC0680">
        <w:rPr>
          <w:rFonts w:ascii="Times New Roman" w:eastAsia="Times New Roman" w:hAnsi="Times New Roman" w:cs="Times New Roman"/>
          <w:sz w:val="24"/>
          <w:szCs w:val="24"/>
          <w:lang w:eastAsia="el-GR"/>
        </w:rPr>
        <w:t>κυρωθέντος</w:t>
      </w:r>
      <w:proofErr w:type="spellEnd"/>
      <w:r w:rsidRPr="00CC06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το άρθρο πρώτο του ν. 3669/2008 κώδικα της νομοθεσίας περί κατασκευής δημοσίων έργων, όσον αφορά την πρόβλεψη για προηγούμενη έγγραφη όχληση, επί καθυστέρησης πληρωμής </w:t>
      </w:r>
      <w:proofErr w:type="spellStart"/>
      <w:r w:rsidRPr="00CC0680">
        <w:rPr>
          <w:rFonts w:ascii="Times New Roman" w:eastAsia="Times New Roman" w:hAnsi="Times New Roman" w:cs="Times New Roman"/>
          <w:sz w:val="24"/>
          <w:szCs w:val="24"/>
          <w:lang w:eastAsia="el-GR"/>
        </w:rPr>
        <w:t>εγκριθέντος</w:t>
      </w:r>
      <w:proofErr w:type="spellEnd"/>
      <w:r w:rsidRPr="00CC06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λογαριασμού, (πιστοποίησης), η οποία (έγγραφη όχληση) δεν απαιτείται πλέον για την έναρξη της </w:t>
      </w:r>
      <w:proofErr w:type="spellStart"/>
      <w:r w:rsidRPr="00CC0680">
        <w:rPr>
          <w:rFonts w:ascii="Times New Roman" w:eastAsia="Times New Roman" w:hAnsi="Times New Roman" w:cs="Times New Roman"/>
          <w:sz w:val="24"/>
          <w:szCs w:val="24"/>
          <w:lang w:eastAsia="el-GR"/>
        </w:rPr>
        <w:t>τοκοφορίας</w:t>
      </w:r>
      <w:proofErr w:type="spellEnd"/>
      <w:r w:rsidRPr="00CC06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λογαριασμού όταν ο οφειλέτης είναι δημόσια αρχή </w:t>
      </w:r>
      <w:r w:rsidRPr="00CC068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(</w:t>
      </w:r>
      <w:proofErr w:type="spellStart"/>
      <w:r w:rsidRPr="00CC068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πρβλ</w:t>
      </w:r>
      <w:proofErr w:type="spellEnd"/>
      <w:r w:rsidRPr="00CC068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proofErr w:type="spellStart"/>
      <w:r w:rsidRPr="00CC068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ΣτΕ</w:t>
      </w:r>
      <w:proofErr w:type="spellEnd"/>
      <w:r w:rsidRPr="00CC068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3526/2015</w:t>
      </w:r>
      <w:r w:rsidRPr="00CC06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μετά την παραπεμπτική </w:t>
      </w:r>
      <w:r w:rsidRPr="00CC068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27/2015, 1403/2016</w:t>
      </w:r>
      <w:r w:rsidRPr="00CC0680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sectPr w:rsidR="00CC0680" w:rsidRPr="00CC06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94B"/>
    <w:rsid w:val="0014162B"/>
    <w:rsid w:val="003A4428"/>
    <w:rsid w:val="004F2190"/>
    <w:rsid w:val="00897002"/>
    <w:rsid w:val="008D6DD9"/>
    <w:rsid w:val="00997C7E"/>
    <w:rsid w:val="009A594B"/>
    <w:rsid w:val="00B47A24"/>
    <w:rsid w:val="00CC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0859"/>
  <w15:chartTrackingRefBased/>
  <w15:docId w15:val="{2B6EEBFB-7AEE-47A3-94C0-05F2EAA8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F2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Char"/>
    <w:uiPriority w:val="9"/>
    <w:qFormat/>
    <w:rsid w:val="004F2190"/>
    <w:pPr>
      <w:spacing w:before="120" w:after="120" w:line="360" w:lineRule="auto"/>
      <w:ind w:left="432" w:hanging="432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A594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A594B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uiPriority w:val="9"/>
    <w:qFormat/>
    <w:rsid w:val="004F219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4F21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-HTML">
    <w:name w:val="HTML Preformatted"/>
    <w:basedOn w:val="a"/>
    <w:link w:val="-HTMLChar"/>
    <w:uiPriority w:val="99"/>
    <w:unhideWhenUsed/>
    <w:qFormat/>
    <w:rsid w:val="004F2190"/>
    <w:pPr>
      <w:widowControl w:val="0"/>
      <w:autoSpaceDE w:val="0"/>
      <w:autoSpaceDN w:val="0"/>
      <w:adjustRightInd w:val="0"/>
    </w:pPr>
    <w:rPr>
      <w:rFonts w:ascii="Consolas" w:eastAsia="Times New Roman" w:hAnsi="Consolas" w:cs="Consolas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qFormat/>
    <w:rsid w:val="004F2190"/>
    <w:rPr>
      <w:rFonts w:ascii="Consolas" w:eastAsia="Times New Roman" w:hAnsi="Consolas" w:cs="Consolas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wdb.intrasoftnet.com/nomos/javascript:open_links('744423,326931')" TargetMode="External"/><Relationship Id="rId5" Type="http://schemas.openxmlformats.org/officeDocument/2006/relationships/hyperlink" Target="https://lawdb.intrasoftnet.com/nomos/javascript:open_links('744423,326931')" TargetMode="External"/><Relationship Id="rId4" Type="http://schemas.openxmlformats.org/officeDocument/2006/relationships/hyperlink" Target="http://dimosnet.gr/blog/laws/%CE%AC%CF%81%CE%B8%CF%81%CE%BF-152-%CE%BB%CE%BF%CE%B3%CE%B1%CF%81%CE%B9%CE%B1%CF%83%CE%BC%CE%BF%CE%AF-%CF%80%CE%B9%CF%83%CF%84%CE%BF%CF%80%CE%BF%CE%B9%CE%AE%CF%83%CE%B5%CE%B9%CF%82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ΠΑΠΑΣΤΑΜΑΤΗΣ, ΖΗΣΗΣ</dc:creator>
  <cp:keywords/>
  <dc:description/>
  <cp:lastModifiedBy>Ζήσης Παπασταμάτης</cp:lastModifiedBy>
  <cp:revision>5</cp:revision>
  <dcterms:created xsi:type="dcterms:W3CDTF">2022-09-14T11:41:00Z</dcterms:created>
  <dcterms:modified xsi:type="dcterms:W3CDTF">2025-03-20T13:30:00Z</dcterms:modified>
</cp:coreProperties>
</file>