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6E72" w14:textId="383D2F94" w:rsidR="00AD381C" w:rsidRPr="001E7A87" w:rsidRDefault="001E7A87" w:rsidP="00AD381C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 </w:t>
      </w:r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AD381C"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ημοπράτηση χωρίς Οικοδομική Άδεια</w:t>
      </w:r>
    </w:p>
    <w:p w14:paraId="5FEC0578" w14:textId="51F53EA9" w:rsidR="00AD381C" w:rsidRPr="001E7A87" w:rsidRDefault="00AD381C" w:rsidP="00AD3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</w:t>
      </w:r>
      <w:r w:rsidR="001E7A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08</w:t>
      </w:r>
      <w:r w:rsidRPr="001E7A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/0</w:t>
      </w:r>
      <w:r w:rsidR="001E7A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2</w:t>
      </w:r>
      <w:r w:rsidRPr="001E7A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/2021</w:t>
      </w:r>
    </w:p>
    <w:p w14:paraId="4453B9D7" w14:textId="77777777" w:rsidR="00AD381C" w:rsidRPr="001E7A87" w:rsidRDefault="00AD381C" w:rsidP="0055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B0D4E36" w14:textId="3672B7CD" w:rsidR="00AD381C" w:rsidRPr="001E7A87" w:rsidRDefault="00AD381C" w:rsidP="0055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287E570B" w14:textId="77777777" w:rsidR="00AD381C" w:rsidRPr="001E7A87" w:rsidRDefault="00AD381C" w:rsidP="00552E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E3D1200" w14:textId="58EEB4CD" w:rsidR="00AD381C" w:rsidRPr="001E7A87" w:rsidRDefault="00AD381C" w:rsidP="001E7A8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 σύννομη η δημοπράτηση έργου (χρηματοδότηση από την ΓΓΑ) κατασκευής κερκίδων σε αθλητικό κέντρο (</w:t>
      </w:r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μη κοινόχρηστος χώρος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άρα δεν εμπίπτει στην 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ΥΠΕΝ/ΔΑΟΚΑ/113130/3420, ΦΕΚ 5287/Β/1-12-2020), </w:t>
      </w:r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αναφέροντας στην διακήρυξη ότι η Οικοδομική Άδεια θα εκδοθεί πριν την υπογραφή της σύμβασης;</w:t>
      </w:r>
    </w:p>
    <w:p w14:paraId="57E8330F" w14:textId="2BBA10B5" w:rsidR="00AD381C" w:rsidRPr="001E7A87" w:rsidRDefault="001E7A87" w:rsidP="00552EA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Απάντηση</w:t>
      </w:r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</w:p>
    <w:p w14:paraId="16DC32CE" w14:textId="77777777" w:rsidR="00CD23FA" w:rsidRPr="001E7A87" w:rsidRDefault="00CD23FA" w:rsidP="00552EAB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</w:t>
      </w:r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hyperlink r:id="rId4" w:history="1">
        <w:r w:rsidR="00AD381C" w:rsidRPr="001E7A87">
          <w:rPr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 xml:space="preserve">Πράξη 316 / 2014 </w:t>
        </w:r>
        <w:proofErr w:type="spellStart"/>
        <w:r w:rsidR="00AD381C" w:rsidRPr="001E7A87">
          <w:rPr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Κλιμ</w:t>
        </w:r>
        <w:proofErr w:type="spellEnd"/>
        <w:r w:rsidR="00AD381C" w:rsidRPr="001E7A87">
          <w:rPr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. Τμ. 7</w:t>
        </w:r>
      </w:hyperlink>
      <w:r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="00AD381C" w:rsidRPr="001E7A8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περίπτωση εκτελούμενων εργασιών δόμησης από τους δήμους ελέγχεται από το Ελεγκτικό Συνέδριο και η παράλειψη έκδοσης οικοδομικής άδειας, καθόσον η ύπαρξη οικοδομικής άδειας συνδέεται άρρηκτα με την σύμφωνη με την κείμενη πολεοδομική και περιβαλλοντική νομοθεσία εκτέλεση του έργου, η έλλειψη δε αυτής παράγει δημοσιονομικές συνέπειες που απορρέουν από την επιβολή προστίμων για τη νομιμοποίησή της ή σε περίπτωση μη νομιμοποίησης για την κατεδάφιση ή τη διατήρηση της αυθαίρετης κατασκευής (βλ. Πράξη VΙΙ Τμήματος 124/2008, contra Πράξη VΙΙ 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Τμ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. 279/2011, όπου και μειοψηφία,  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Πρ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. IV Τμήματος 90/2011, 4/2008, 60/2007, 95/2004, 75/2003). Δοθέντος δε ότι η ύπαρξη άδειας δόμησης συνδέεται άρρηκτα με την σύμφωνη με την κείμενη πολεοδομική νομοθεσία εκτέλεση του έργου, η έλλειψη δε αυτής παράγει και δημοσιονομικές συνέπειες που απορρέουν από την επιβολή προστίμων</w:t>
      </w:r>
      <w:r w:rsidRPr="001E7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για τη νομιμοποίησή της ή σε περίπτωση μη νομιμοποίησης για την κατεδάφιση ή τη διατήρηση της αυθαίρετης κατασκευής, η έλλειψη άδειας δόμησης καθιστά μη νόμιμες τις δαπάνες που απορρέουν από την εκτέλεση της αυθαίρετης κατασκευής.</w:t>
      </w:r>
      <w:r w:rsidRPr="001E7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</w:t>
      </w:r>
      <w:hyperlink r:id="rId5" w:history="1">
        <w:r w:rsidRPr="001E7A87">
          <w:rPr>
            <w:rFonts w:ascii="Times New Roman" w:eastAsia="SimSun" w:hAnsi="Times New Roman" w:cs="Times New Roman"/>
            <w:b/>
            <w:sz w:val="24"/>
            <w:szCs w:val="24"/>
            <w:lang w:eastAsia="zh-CN"/>
          </w:rPr>
          <w:t xml:space="preserve">Πράξη 55 / 2018 </w:t>
        </w:r>
        <w:proofErr w:type="spellStart"/>
        <w:r w:rsidRPr="001E7A87">
          <w:rPr>
            <w:rFonts w:ascii="Times New Roman" w:eastAsia="SimSun" w:hAnsi="Times New Roman" w:cs="Times New Roman"/>
            <w:b/>
            <w:sz w:val="24"/>
            <w:szCs w:val="24"/>
            <w:lang w:eastAsia="zh-CN"/>
          </w:rPr>
          <w:t>Κλιμ</w:t>
        </w:r>
        <w:proofErr w:type="spellEnd"/>
        <w:r w:rsidRPr="001E7A87">
          <w:rPr>
            <w:rFonts w:ascii="Times New Roman" w:eastAsia="SimSun" w:hAnsi="Times New Roman" w:cs="Times New Roman"/>
            <w:b/>
            <w:sz w:val="24"/>
            <w:szCs w:val="24"/>
            <w:lang w:eastAsia="zh-CN"/>
          </w:rPr>
          <w:t>. Τμ. 7</w:t>
        </w:r>
      </w:hyperlink>
      <w:r w:rsidRPr="001E7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</w:t>
      </w:r>
    </w:p>
    <w:p w14:paraId="1895BC04" w14:textId="77777777" w:rsidR="00CD23FA" w:rsidRPr="001E7A87" w:rsidRDefault="00CD23FA" w:rsidP="00552E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περίπτωση μη έκδοσης Οικοδομικής Άδειας πριν την υπογραφή της σύμβασης αποτελεί μία εκ των περιπτώσεων μη ορθής Ωρίμανσης του δημοπρατούμενου Έργου, αφού αυτός δεν έχει προβεί στην παράδοση των 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απαιραιτήτων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για την ορθή εκτέλεση του Έργου - συμβατικών του υποχρεώσεων , καθυστερήσεις οι οποίες όμως ενδέχεται να αποβούν κρίσιμες για την έγκαιρη εκτέλεσης των εργασιών κατασκευής και την εν γένει τήρηση του χρονοδιαγράμματος εργασιών κατασκευής.</w:t>
      </w:r>
    </w:p>
    <w:p w14:paraId="435A9B40" w14:textId="77777777" w:rsidR="007560CE" w:rsidRPr="001E7A87" w:rsidRDefault="00552EAB" w:rsidP="00552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Υπάρχει πάντα η δυνατότητα προσθήκης 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Συμβατικά τεύχη του Έργου (Διακήρυξη, Ειδική Συγγραφή Υποχρεώσεων) 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όρου έναρξης των εργασιών κατασκευής του εν λόγω Έργου με την έκδοση και λήψη της εν προκειμένω Οικοδομικής Άδειας. </w:t>
      </w:r>
    </w:p>
    <w:p w14:paraId="0602D021" w14:textId="77777777" w:rsidR="007560CE" w:rsidRPr="001E7A87" w:rsidRDefault="007560CE" w:rsidP="007560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περίπτωση δε, που - με υπαιτιότητα του φορέα κατασκευής ή του κυρίου του έργου - αν μετά την υπογραφή της σύμβασης καθυστερήσει η έναρξη των εργασιών περισσότερο από τρεις (3) μήνες, Ο ανάδοχος μπορεί να ζητήσει τη διάλυση της σύμβασης σύμφωνα με τις προβλέψεις της περ. (α)  παρ.2 του Άρθρο 161.</w:t>
      </w:r>
    </w:p>
    <w:p w14:paraId="34F7285A" w14:textId="77777777" w:rsidR="00552EAB" w:rsidRPr="001E7A87" w:rsidRDefault="00552EAB" w:rsidP="00552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πάντως με την </w:t>
      </w: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παγιωθείσα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Νομολογία, στην περίπτωση μη ορθής τήρησης της διαδικασίας και μη έκδοσης της εν λόγω Αδείας </w:t>
      </w:r>
      <w:r w:rsidR="0059776F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οποία μπορεί να οδηγήσει σε πιθανή Διοικητική (Άρθ. 174) ή Δικαστική επίλυση διαφορών, 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βάρος της απόδειξης</w:t>
      </w:r>
      <w:r w:rsidR="0059776F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ορθότητας των επιλογών της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φέρ</w:t>
      </w:r>
      <w:r w:rsidR="0059776F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ουν τα όργανα της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Αναθέτουσα</w:t>
      </w:r>
      <w:r w:rsidR="0059776F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Αρχή</w:t>
      </w:r>
      <w:r w:rsidR="0059776F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8D3DE8A" w14:textId="77777777" w:rsidR="00552EAB" w:rsidRPr="001E7A87" w:rsidRDefault="00552EAB" w:rsidP="00552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Η 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διαδικασία και το ύψος της 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Αποζημίωση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αναδόχου λόγω διάλυσης της σύμβασης 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πραγματοποιείται σύμφωνα με τις διατάξεις του 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Άρθρο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163</w:t>
      </w:r>
      <w:r w:rsidR="007560CE"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Ν.4412/2016.</w:t>
      </w:r>
    </w:p>
    <w:p w14:paraId="3F1C2DB6" w14:textId="77777777" w:rsidR="001E7A87" w:rsidRPr="001E7A87" w:rsidRDefault="001E7A87" w:rsidP="001E7A87">
      <w:pPr>
        <w:spacing w:after="160" w:line="256" w:lineRule="auto"/>
        <w:jc w:val="both"/>
        <w:rPr>
          <w:rFonts w:ascii="Calibri" w:eastAsia="Times New Roman" w:hAnsi="Calibri" w:cs="Calibri"/>
          <w:lang w:eastAsia="el-GR"/>
        </w:rPr>
      </w:pPr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37126553" w14:textId="77777777" w:rsidR="001E7A87" w:rsidRPr="001E7A87" w:rsidRDefault="001E7A87" w:rsidP="001E7A87">
      <w:pPr>
        <w:spacing w:after="160" w:line="256" w:lineRule="auto"/>
        <w:jc w:val="both"/>
        <w:rPr>
          <w:rFonts w:ascii="Calibri" w:eastAsia="Times New Roman" w:hAnsi="Calibri" w:cs="Calibri"/>
          <w:lang w:eastAsia="el-GR"/>
        </w:rPr>
      </w:pPr>
      <w:r w:rsidRPr="001E7A87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57C6028F" w14:textId="77777777" w:rsidR="001E7A87" w:rsidRPr="001E7A87" w:rsidRDefault="001E7A87" w:rsidP="001E7A87">
      <w:pPr>
        <w:spacing w:after="160" w:line="256" w:lineRule="auto"/>
        <w:jc w:val="both"/>
        <w:rPr>
          <w:rFonts w:ascii="Calibri" w:eastAsia="Times New Roman" w:hAnsi="Calibri" w:cs="Calibri"/>
          <w:lang w:eastAsia="el-GR"/>
        </w:rPr>
      </w:pPr>
      <w:hyperlink r:id="rId6" w:tgtFrame="_blank" w:history="1">
        <w:proofErr w:type="spellStart"/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</w:hyperlink>
    </w:p>
    <w:p w14:paraId="625D06E2" w14:textId="77777777" w:rsidR="001E7A87" w:rsidRPr="001E7A87" w:rsidRDefault="001E7A87" w:rsidP="001E7A87">
      <w:pPr>
        <w:spacing w:after="160" w:line="256" w:lineRule="auto"/>
        <w:jc w:val="both"/>
        <w:rPr>
          <w:rFonts w:ascii="Calibri" w:eastAsia="Times New Roman" w:hAnsi="Calibri" w:cs="Calibri"/>
          <w:lang w:eastAsia="el-GR"/>
        </w:rPr>
      </w:pPr>
      <w:r w:rsidRPr="001E7A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r w:rsidRPr="001E7A87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1E7A8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hyperlink r:id="rId7" w:tgtFrame="_blank" w:history="1"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zpapastamatis</w:t>
        </w:r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@</w:t>
        </w:r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gmail</w:t>
        </w:r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el-GR"/>
          </w:rPr>
          <w:t>.</w:t>
        </w:r>
        <w:r w:rsidRPr="001E7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 w:eastAsia="el-GR"/>
          </w:rPr>
          <w:t>com</w:t>
        </w:r>
      </w:hyperlink>
    </w:p>
    <w:p w14:paraId="35678CC5" w14:textId="4D97370A" w:rsidR="00AD381C" w:rsidRPr="001E7A87" w:rsidRDefault="001E7A87" w:rsidP="001E7A87">
      <w:p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proofErr w:type="spellStart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1E7A87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Επικοινωνίας :</w:t>
      </w:r>
      <w:r w:rsidRPr="001E7A8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6945558980</w:t>
      </w:r>
      <w:r w:rsidRPr="001E7A87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 </w:t>
      </w:r>
      <w:r w:rsidR="00AD381C" w:rsidRPr="001E7A87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609043B9" w14:textId="77777777" w:rsidR="008A0498" w:rsidRPr="001E7A87" w:rsidRDefault="008A0498" w:rsidP="00AD3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498" w:rsidRPr="001E7A87" w:rsidSect="008A0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81C"/>
    <w:rsid w:val="001E7A87"/>
    <w:rsid w:val="00552EAB"/>
    <w:rsid w:val="0059776F"/>
    <w:rsid w:val="007560CE"/>
    <w:rsid w:val="008A0498"/>
    <w:rsid w:val="00AD381C"/>
    <w:rsid w:val="00C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E365"/>
  <w15:docId w15:val="{67A65802-2667-466F-904B-4930276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98"/>
  </w:style>
  <w:style w:type="paragraph" w:styleId="3">
    <w:name w:val="heading 3"/>
    <w:basedOn w:val="a"/>
    <w:link w:val="3Char"/>
    <w:uiPriority w:val="9"/>
    <w:qFormat/>
    <w:rsid w:val="00AD3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D381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D38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D381C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D381C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D38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D381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552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52EA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89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16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99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9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70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63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6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papastamat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mosies-symvaseis.gr/" TargetMode="External"/><Relationship Id="rId5" Type="http://schemas.openxmlformats.org/officeDocument/2006/relationships/hyperlink" Target="https://dimosnet.gr/blog/laws/%cf%80%cf%81%ce%ac%ce%be%ce%b7-552018-%ce%ba%ce%bb%ce%b9%ce%bc-%cf%84%ce%bc-7/" TargetMode="External"/><Relationship Id="rId4" Type="http://schemas.openxmlformats.org/officeDocument/2006/relationships/hyperlink" Target="https://dimosnet.gr/blog/laws/%cf%80%cf%81%ce%ac%ce%be%ce%b7-3162014-%ce%ba%ce%bb%ce%b9%ce%bc-%cf%84%ce%bc-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Ζήσης Παπασταμάτης</cp:lastModifiedBy>
  <cp:revision>3</cp:revision>
  <dcterms:created xsi:type="dcterms:W3CDTF">2021-01-19T00:07:00Z</dcterms:created>
  <dcterms:modified xsi:type="dcterms:W3CDTF">2025-03-21T08:23:00Z</dcterms:modified>
</cp:coreProperties>
</file>