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ABA9" w14:textId="6EF86220" w:rsidR="00EC6B24" w:rsidRPr="00AA7A5D" w:rsidRDefault="00E1180C" w:rsidP="00EC6B24">
      <w:pPr>
        <w:jc w:val="both"/>
        <w:rPr>
          <w:rFonts w:ascii="Times New Roman" w:eastAsia="SimSun" w:hAnsi="Times New Roman" w:cs="Times New Roman"/>
          <w:b/>
          <w:bCs/>
          <w:sz w:val="24"/>
          <w:szCs w:val="24"/>
          <w:lang w:eastAsia="zh-CN"/>
        </w:rPr>
      </w:pPr>
      <w:r w:rsidRPr="00AA7A5D">
        <w:rPr>
          <w:rFonts w:ascii="Times New Roman" w:eastAsia="SimSun" w:hAnsi="Times New Roman" w:cs="Times New Roman"/>
          <w:b/>
          <w:bCs/>
          <w:sz w:val="24"/>
          <w:szCs w:val="24"/>
          <w:lang w:eastAsia="zh-CN"/>
        </w:rPr>
        <w:t xml:space="preserve">ΘΕΜΑ : </w:t>
      </w:r>
      <w:r w:rsidRPr="00AA7A5D">
        <w:rPr>
          <w:rFonts w:ascii="Times New Roman" w:eastAsia="SimSun" w:hAnsi="Times New Roman" w:cs="Times New Roman"/>
          <w:sz w:val="24"/>
          <w:szCs w:val="24"/>
          <w:lang w:eastAsia="zh-CN"/>
        </w:rPr>
        <w:t>Δεσμευτική ισχύς Πρότυπων Διακηρύξεων</w:t>
      </w:r>
    </w:p>
    <w:p w14:paraId="56E8719E" w14:textId="4870A2B9" w:rsidR="00EC6B24" w:rsidRPr="00AA7A5D" w:rsidRDefault="00EC6B24" w:rsidP="00EC6B24">
      <w:pPr>
        <w:jc w:val="both"/>
        <w:rPr>
          <w:rFonts w:ascii="Times New Roman" w:eastAsia="SimSun" w:hAnsi="Times New Roman" w:cs="Times New Roman"/>
          <w:sz w:val="24"/>
          <w:szCs w:val="24"/>
          <w:lang w:eastAsia="zh-CN"/>
        </w:rPr>
      </w:pPr>
      <w:r w:rsidRPr="00AA7A5D">
        <w:rPr>
          <w:rFonts w:ascii="Times New Roman" w:eastAsia="SimSun" w:hAnsi="Times New Roman" w:cs="Times New Roman"/>
          <w:sz w:val="24"/>
          <w:szCs w:val="24"/>
          <w:lang w:eastAsia="zh-CN"/>
        </w:rPr>
        <w:t xml:space="preserve">Ημ/νία υποβολής </w:t>
      </w:r>
      <w:r w:rsidR="00E1180C" w:rsidRPr="00AA7A5D">
        <w:rPr>
          <w:rFonts w:ascii="Times New Roman" w:eastAsia="SimSun" w:hAnsi="Times New Roman" w:cs="Times New Roman"/>
          <w:b/>
          <w:bCs/>
          <w:i/>
          <w:iCs/>
          <w:sz w:val="24"/>
          <w:szCs w:val="24"/>
          <w:lang w:eastAsia="zh-CN"/>
        </w:rPr>
        <w:t>13</w:t>
      </w:r>
      <w:r w:rsidRPr="00AA7A5D">
        <w:rPr>
          <w:rFonts w:ascii="Times New Roman" w:eastAsia="SimSun" w:hAnsi="Times New Roman" w:cs="Times New Roman"/>
          <w:b/>
          <w:bCs/>
          <w:i/>
          <w:iCs/>
          <w:sz w:val="24"/>
          <w:szCs w:val="24"/>
          <w:lang w:eastAsia="zh-CN"/>
        </w:rPr>
        <w:t>/1</w:t>
      </w:r>
      <w:r w:rsidR="00E1180C" w:rsidRPr="00AA7A5D">
        <w:rPr>
          <w:rFonts w:ascii="Times New Roman" w:eastAsia="SimSun" w:hAnsi="Times New Roman" w:cs="Times New Roman"/>
          <w:b/>
          <w:bCs/>
          <w:i/>
          <w:iCs/>
          <w:sz w:val="24"/>
          <w:szCs w:val="24"/>
          <w:lang w:eastAsia="zh-CN"/>
        </w:rPr>
        <w:t>2</w:t>
      </w:r>
      <w:r w:rsidRPr="00AA7A5D">
        <w:rPr>
          <w:rFonts w:ascii="Times New Roman" w:eastAsia="SimSun" w:hAnsi="Times New Roman" w:cs="Times New Roman"/>
          <w:b/>
          <w:bCs/>
          <w:i/>
          <w:iCs/>
          <w:sz w:val="24"/>
          <w:szCs w:val="24"/>
          <w:lang w:eastAsia="zh-CN"/>
        </w:rPr>
        <w:t>/2021</w:t>
      </w:r>
    </w:p>
    <w:p w14:paraId="08AAEA2B" w14:textId="77777777" w:rsidR="00EC6B24" w:rsidRPr="00AA7A5D" w:rsidRDefault="00EC6B24" w:rsidP="00EC6B24">
      <w:pPr>
        <w:jc w:val="both"/>
        <w:rPr>
          <w:rFonts w:ascii="Times New Roman" w:eastAsia="SimSun" w:hAnsi="Times New Roman" w:cs="Times New Roman"/>
          <w:sz w:val="24"/>
          <w:szCs w:val="24"/>
          <w:lang w:eastAsia="zh-CN"/>
        </w:rPr>
      </w:pPr>
    </w:p>
    <w:p w14:paraId="0FBAA3FE" w14:textId="5E576FE2" w:rsidR="00EC6B24" w:rsidRPr="00AA7A5D" w:rsidRDefault="00EC6B24" w:rsidP="00EC6B24">
      <w:pPr>
        <w:jc w:val="both"/>
        <w:rPr>
          <w:rFonts w:ascii="Times New Roman" w:eastAsia="SimSun" w:hAnsi="Times New Roman" w:cs="Times New Roman"/>
          <w:b/>
          <w:bCs/>
          <w:sz w:val="24"/>
          <w:szCs w:val="24"/>
          <w:lang w:eastAsia="zh-CN"/>
        </w:rPr>
      </w:pPr>
      <w:r w:rsidRPr="00AA7A5D">
        <w:rPr>
          <w:rFonts w:ascii="Times New Roman" w:eastAsia="SimSun" w:hAnsi="Times New Roman" w:cs="Times New Roman"/>
          <w:b/>
          <w:bCs/>
          <w:sz w:val="24"/>
          <w:szCs w:val="24"/>
          <w:lang w:eastAsia="zh-CN"/>
        </w:rPr>
        <w:t xml:space="preserve">Ερώτηση </w:t>
      </w:r>
    </w:p>
    <w:p w14:paraId="3DAE4501" w14:textId="77777777" w:rsidR="00DB25E5" w:rsidRPr="00AA7A5D" w:rsidRDefault="00EC6B24" w:rsidP="00AA7A5D">
      <w:pPr>
        <w:jc w:val="both"/>
        <w:rPr>
          <w:rFonts w:ascii="Times New Roman" w:eastAsia="SimSun" w:hAnsi="Times New Roman" w:cs="Times New Roman"/>
          <w:sz w:val="24"/>
          <w:szCs w:val="24"/>
          <w:lang w:eastAsia="zh-CN"/>
        </w:rPr>
      </w:pPr>
      <w:r w:rsidRPr="00AA7A5D">
        <w:rPr>
          <w:rFonts w:ascii="Times New Roman" w:eastAsia="SimSun" w:hAnsi="Times New Roman" w:cs="Times New Roman"/>
          <w:sz w:val="24"/>
          <w:szCs w:val="24"/>
          <w:lang w:eastAsia="zh-CN"/>
        </w:rPr>
        <w:t xml:space="preserve">Είναι δεσμευτική και υποχρεωτική η χρήση των </w:t>
      </w:r>
      <w:r w:rsidRPr="00AA7A5D">
        <w:rPr>
          <w:rFonts w:ascii="Times New Roman" w:eastAsia="SimSun" w:hAnsi="Times New Roman" w:cs="Times New Roman"/>
          <w:b/>
          <w:bCs/>
          <w:sz w:val="24"/>
          <w:szCs w:val="24"/>
          <w:lang w:eastAsia="zh-CN"/>
        </w:rPr>
        <w:t>προτύπων τευχών διακηρύξεων</w:t>
      </w:r>
      <w:r w:rsidRPr="00AA7A5D">
        <w:rPr>
          <w:rFonts w:ascii="Times New Roman" w:eastAsia="SimSun" w:hAnsi="Times New Roman" w:cs="Times New Roman"/>
          <w:sz w:val="24"/>
          <w:szCs w:val="24"/>
          <w:lang w:eastAsia="zh-CN"/>
        </w:rPr>
        <w:t xml:space="preserve"> που αναρτήθηκαν στις 1-9-2021 από την ΕΑΑΔΗΣΥ </w:t>
      </w:r>
      <w:r w:rsidRPr="00AA7A5D">
        <w:rPr>
          <w:rFonts w:ascii="Times New Roman" w:eastAsia="SimSun" w:hAnsi="Times New Roman" w:cs="Times New Roman"/>
          <w:b/>
          <w:bCs/>
          <w:sz w:val="24"/>
          <w:szCs w:val="24"/>
          <w:lang w:eastAsia="zh-CN"/>
        </w:rPr>
        <w:t xml:space="preserve">για έργα που ανήκουν στο ΒΙΒΛΙΟ Ι </w:t>
      </w:r>
      <w:r w:rsidRPr="00AA7A5D">
        <w:rPr>
          <w:rFonts w:ascii="Times New Roman" w:eastAsia="SimSun" w:hAnsi="Times New Roman" w:cs="Times New Roman"/>
          <w:sz w:val="24"/>
          <w:szCs w:val="24"/>
          <w:lang w:eastAsia="zh-CN"/>
        </w:rPr>
        <w:t xml:space="preserve">από τις αναθέτουσες αρχές; </w:t>
      </w:r>
    </w:p>
    <w:p w14:paraId="03C9C26A" w14:textId="5349742C" w:rsidR="00C55D85" w:rsidRPr="00AA7A5D" w:rsidRDefault="002A33C5" w:rsidP="00C55D85">
      <w:pPr>
        <w:pStyle w:val="-HTML"/>
        <w:shd w:val="clear" w:color="auto" w:fill="FFFFFF"/>
        <w:jc w:val="both"/>
        <w:rPr>
          <w:rFonts w:ascii="Times New Roman" w:hAnsi="Times New Roman" w:cs="Times New Roman"/>
          <w:b/>
          <w:bCs/>
          <w:sz w:val="24"/>
          <w:szCs w:val="24"/>
        </w:rPr>
      </w:pPr>
      <w:r w:rsidRPr="00AA7A5D">
        <w:rPr>
          <w:rFonts w:ascii="Times New Roman" w:hAnsi="Times New Roman" w:cs="Times New Roman"/>
          <w:b/>
          <w:bCs/>
          <w:sz w:val="24"/>
          <w:szCs w:val="24"/>
        </w:rPr>
        <w:t xml:space="preserve">Απάντηση : </w:t>
      </w:r>
    </w:p>
    <w:p w14:paraId="10DEC432" w14:textId="32844271" w:rsidR="009055B1" w:rsidRPr="00AA7A5D" w:rsidRDefault="009055B1" w:rsidP="00AA7A5D">
      <w:pPr>
        <w:pStyle w:val="-HTML"/>
        <w:shd w:val="clear" w:color="auto" w:fill="FFFFFF"/>
        <w:jc w:val="both"/>
        <w:rPr>
          <w:rFonts w:ascii="Times New Roman" w:hAnsi="Times New Roman" w:cs="Times New Roman"/>
          <w:sz w:val="24"/>
          <w:szCs w:val="24"/>
        </w:rPr>
      </w:pPr>
      <w:bookmarkStart w:id="0" w:name="_Hlk89262341"/>
      <w:r w:rsidRPr="00AA7A5D">
        <w:rPr>
          <w:rFonts w:ascii="Times New Roman" w:hAnsi="Times New Roman" w:cs="Times New Roman"/>
          <w:sz w:val="24"/>
          <w:szCs w:val="24"/>
        </w:rPr>
        <w:t>Κατ΄ αρχάς τα Πρότυπα τεύχη διακηρύξεων της ΕΑΑΔΗΣΥ είναι δεσμευτικής ισχύος όσον αφορά τις αναθέτουσες αρχές του Βιβλίου Ι, γεγονός που σημαίνει ότι αυτές υποχρεούνται σε χρήση των προτύπων Διακήρυξης της ΕΑΑΔΗΣΥ, σε καμία δε περίπτωση δεν μπορούν να κάνουν χρήση οιωνδήποτε άλλων.</w:t>
      </w:r>
    </w:p>
    <w:p w14:paraId="2BD64A0C" w14:textId="77777777" w:rsidR="003F4CD0" w:rsidRPr="00AA7A5D" w:rsidRDefault="003F4CD0" w:rsidP="003F4CD0">
      <w:pPr>
        <w:pStyle w:val="a4"/>
        <w:widowControl w:val="0"/>
        <w:numPr>
          <w:ilvl w:val="0"/>
          <w:numId w:val="2"/>
        </w:numPr>
        <w:shd w:val="clear" w:color="auto" w:fill="FFFFFF"/>
        <w:autoSpaceDE w:val="0"/>
        <w:autoSpaceDN w:val="0"/>
        <w:adjustRightInd w:val="0"/>
        <w:jc w:val="both"/>
        <w:rPr>
          <w:rFonts w:ascii="Times New Roman" w:eastAsia="Times New Roman" w:hAnsi="Times New Roman" w:cs="Times New Roman"/>
          <w:sz w:val="24"/>
          <w:szCs w:val="24"/>
          <w:lang w:eastAsia="el-GR"/>
        </w:rPr>
      </w:pPr>
      <w:r w:rsidRPr="00AA7A5D">
        <w:rPr>
          <w:rFonts w:ascii="Times New Roman" w:eastAsia="Times New Roman" w:hAnsi="Times New Roman" w:cs="Times New Roman"/>
          <w:sz w:val="24"/>
          <w:szCs w:val="24"/>
          <w:lang w:eastAsia="el-GR"/>
        </w:rPr>
        <w:t>Η διακήρυξη του διαγωνισμού, ως κανονιστική πράξη, δεσμεύει με τους όρους της, τόσο τους τρίτους προς τους οποίους απευθύνεται, όσο και το ίδιο το νομικό πρόσωπο που προκηρύσσει το σχετικό διαγωνισμό το οποίο υποχρεούται μέχρι τέλους της διαδικασίας του διαγωνισμού να εφαρμόζει τα όσα ορίζονται σε αυτή.</w:t>
      </w:r>
    </w:p>
    <w:p w14:paraId="3C463F98" w14:textId="71D224E3" w:rsidR="003F4CD0" w:rsidRPr="00AA7A5D" w:rsidRDefault="003F4CD0" w:rsidP="003F4CD0">
      <w:pPr>
        <w:pStyle w:val="a4"/>
        <w:widowControl w:val="0"/>
        <w:numPr>
          <w:ilvl w:val="0"/>
          <w:numId w:val="2"/>
        </w:numPr>
        <w:shd w:val="clear" w:color="auto" w:fill="FFFFFF"/>
        <w:autoSpaceDE w:val="0"/>
        <w:autoSpaceDN w:val="0"/>
        <w:adjustRightInd w:val="0"/>
        <w:jc w:val="both"/>
        <w:rPr>
          <w:rFonts w:ascii="Times New Roman" w:eastAsia="Times New Roman" w:hAnsi="Times New Roman" w:cs="Times New Roman"/>
          <w:sz w:val="24"/>
          <w:szCs w:val="24"/>
          <w:lang w:eastAsia="el-GR"/>
        </w:rPr>
      </w:pPr>
      <w:r w:rsidRPr="00AA7A5D">
        <w:rPr>
          <w:rFonts w:ascii="Times New Roman" w:eastAsia="Times New Roman" w:hAnsi="Times New Roman" w:cs="Times New Roman"/>
          <w:sz w:val="24"/>
          <w:szCs w:val="24"/>
          <w:lang w:eastAsia="el-GR"/>
        </w:rPr>
        <w:t>Η αρχή της δεσμευτικότητας της διακήρυξης κατοχυρώνεται στο ενωσιακό δίκαιο δεδομένου ότι κάθε απόκλιση από τους όρους αυτής αποτελεί παραβίαση της αρχής της ισότητας των διαγωνιζομένων Τυχόν παράβαση ουσιώδους όρου της διακήρυξης, είτε κατά τη διάρκεια του διαγωνισμού, είτε κατά τη συνομολόγηση της σύμβασης που καταρτίζεται μετά τη διενέργεια του διαγωνισμού, είτε κατά το στάδιο της εκτέλεσης αυτής, καθιστά μη νόμιμη τη σχετική διαδικασία και επάγεται ακυρότητα (βλ. αποφάσεις ΑΕΠΠ 18/2017 σκ. 5, 60/2017 σκ. 13, 66/2017 σκ. 11, 80/2017 σκ. 18-19 και 28 με πολύ ενδιαφέρουσα προσέγγιση στις συνέπειες της αυτοδέσμευσης της Διοίκησης, 114/2017 σκ. 12)</w:t>
      </w:r>
    </w:p>
    <w:p w14:paraId="03D46ABF" w14:textId="721757BF" w:rsidR="00F17DA0" w:rsidRPr="00AA7A5D" w:rsidRDefault="00F17DA0" w:rsidP="00F17DA0">
      <w:pPr>
        <w:pStyle w:val="a4"/>
        <w:widowControl w:val="0"/>
        <w:numPr>
          <w:ilvl w:val="0"/>
          <w:numId w:val="2"/>
        </w:numPr>
        <w:shd w:val="clear" w:color="auto" w:fill="FFFFFF"/>
        <w:autoSpaceDE w:val="0"/>
        <w:autoSpaceDN w:val="0"/>
        <w:adjustRightInd w:val="0"/>
        <w:jc w:val="both"/>
        <w:rPr>
          <w:rFonts w:ascii="Times New Roman" w:eastAsia="Times New Roman" w:hAnsi="Times New Roman" w:cs="Times New Roman"/>
          <w:i/>
          <w:iCs/>
          <w:sz w:val="24"/>
          <w:szCs w:val="24"/>
          <w:lang w:eastAsia="el-GR"/>
        </w:rPr>
      </w:pPr>
      <w:r w:rsidRPr="00AA7A5D">
        <w:rPr>
          <w:rFonts w:ascii="Times New Roman" w:eastAsia="Times New Roman" w:hAnsi="Times New Roman" w:cs="Times New Roman"/>
          <w:sz w:val="24"/>
          <w:szCs w:val="24"/>
          <w:lang w:eastAsia="el-GR"/>
        </w:rPr>
        <w:t xml:space="preserve">Ακύρωση μίας ή περισσοτέρων διατάξεων της διακήρυξης που ρυθμίζουν τις προϋποθέσεις παραδεκτού των προσφορών ή τα κριτήρια υπολογισμού της πλέον συμφέρουσας προσφοράς οδηγεί σε ακύρωση της διακήρυξης στο σύνολό </w:t>
      </w:r>
      <w:r w:rsidR="004E03E8" w:rsidRPr="00AA7A5D">
        <w:rPr>
          <w:rFonts w:ascii="Times New Roman" w:eastAsia="Times New Roman" w:hAnsi="Times New Roman" w:cs="Times New Roman"/>
          <w:sz w:val="24"/>
          <w:szCs w:val="24"/>
          <w:lang w:eastAsia="el-GR"/>
        </w:rPr>
        <w:t xml:space="preserve">της, </w:t>
      </w:r>
      <w:r w:rsidRPr="00AA7A5D">
        <w:rPr>
          <w:rFonts w:ascii="Times New Roman" w:eastAsia="Times New Roman" w:hAnsi="Times New Roman" w:cs="Times New Roman"/>
          <w:sz w:val="24"/>
          <w:szCs w:val="24"/>
          <w:lang w:eastAsia="el-GR"/>
        </w:rPr>
        <w:t xml:space="preserve">βάσει των αρχών της ίσης μεταχείρισης και της διαφάνειας </w:t>
      </w:r>
      <w:r w:rsidR="004E03E8" w:rsidRPr="00AA7A5D">
        <w:rPr>
          <w:rFonts w:ascii="Times New Roman" w:eastAsia="Times New Roman" w:hAnsi="Times New Roman" w:cs="Times New Roman"/>
          <w:i/>
          <w:iCs/>
          <w:sz w:val="24"/>
          <w:szCs w:val="24"/>
          <w:lang w:eastAsia="el-GR"/>
        </w:rPr>
        <w:t xml:space="preserve">(βλ. αποφάσεις ΑΕΠΠ 21/2017 σκ. 25, 22/2017 σκ. 28), </w:t>
      </w:r>
      <w:r w:rsidRPr="00AA7A5D">
        <w:rPr>
          <w:rFonts w:ascii="Times New Roman" w:eastAsia="Times New Roman" w:hAnsi="Times New Roman" w:cs="Times New Roman"/>
          <w:sz w:val="24"/>
          <w:szCs w:val="24"/>
          <w:lang w:eastAsia="el-GR"/>
        </w:rPr>
        <w:t xml:space="preserve">ενόψει των αρχών της ίσης μεταχείρισης των προμηθευτών και της διαφάνειας των διαδικασιών σύναψης συμβάσεων δημόσιας προμήθειας, σε περίπτωση, όπως η παρούσα, ακύρωσης μίας ή περισσότερων διατάξεων της διακήρυξης που ρυθμίζουν τις προϋποθέσεις παραδεκτού των προσφορών, πρέπει να ακυρωθεί η διακήρυξη στο σύνολό της. Συνεπώς, η προσβαλλόμενη διακήρυξη του ανωτέρω διαγωνισμού πρέπει να ακυρωθεί στο σύνολό </w:t>
      </w:r>
      <w:r w:rsidR="004E03E8" w:rsidRPr="00AA7A5D">
        <w:rPr>
          <w:rFonts w:ascii="Times New Roman" w:eastAsia="Times New Roman" w:hAnsi="Times New Roman" w:cs="Times New Roman"/>
          <w:sz w:val="24"/>
          <w:szCs w:val="24"/>
          <w:lang w:eastAsia="el-GR"/>
        </w:rPr>
        <w:t>της.</w:t>
      </w:r>
      <w:r w:rsidR="004E03E8" w:rsidRPr="00AA7A5D">
        <w:rPr>
          <w:rFonts w:ascii="Times New Roman" w:hAnsi="Times New Roman" w:cs="Times New Roman"/>
          <w:sz w:val="24"/>
          <w:szCs w:val="24"/>
        </w:rPr>
        <w:t xml:space="preserve"> </w:t>
      </w:r>
      <w:r w:rsidR="004E03E8" w:rsidRPr="00AA7A5D">
        <w:rPr>
          <w:rFonts w:ascii="Times New Roman" w:hAnsi="Times New Roman" w:cs="Times New Roman"/>
          <w:i/>
          <w:iCs/>
          <w:sz w:val="24"/>
          <w:szCs w:val="24"/>
        </w:rPr>
        <w:t>(</w:t>
      </w:r>
      <w:r w:rsidR="004E03E8" w:rsidRPr="00AA7A5D">
        <w:rPr>
          <w:rFonts w:ascii="Times New Roman" w:eastAsia="Times New Roman" w:hAnsi="Times New Roman" w:cs="Times New Roman"/>
          <w:i/>
          <w:iCs/>
          <w:sz w:val="24"/>
          <w:szCs w:val="24"/>
          <w:lang w:eastAsia="el-GR"/>
        </w:rPr>
        <w:t>πρβλ. ΣΤΕ 1135/2010, ΕΑ 1089/2009, ΣτΕ 2951-52/2004 επταμ. και απόφαση ΔΕΚ στην υπόθεση C-448/2001, ENV AG κ.λπ., Συλλ. 2003, σελ. Ι-14527, σκέψεις 92-95)</w:t>
      </w:r>
    </w:p>
    <w:bookmarkEnd w:id="0"/>
    <w:p w14:paraId="24FBBA91" w14:textId="77777777" w:rsidR="00AA7A5D" w:rsidRPr="00AA7A5D" w:rsidRDefault="00AA7A5D" w:rsidP="00AA7A5D">
      <w:pPr>
        <w:spacing w:line="256" w:lineRule="auto"/>
        <w:jc w:val="both"/>
        <w:rPr>
          <w:rFonts w:ascii="Times New Roman" w:hAnsi="Times New Roman" w:cs="Times New Roman"/>
          <w:sz w:val="24"/>
          <w:szCs w:val="24"/>
        </w:rPr>
      </w:pPr>
      <w:r w:rsidRPr="00AA7A5D">
        <w:rPr>
          <w:rFonts w:ascii="Times New Roman" w:hAnsi="Times New Roman" w:cs="Times New Roman"/>
          <w:sz w:val="24"/>
          <w:szCs w:val="24"/>
        </w:rPr>
        <w:t>Με εκτίμηση</w:t>
      </w:r>
    </w:p>
    <w:p w14:paraId="68312218" w14:textId="77777777" w:rsidR="00AA7A5D" w:rsidRPr="00AA7A5D" w:rsidRDefault="00AA7A5D" w:rsidP="00AA7A5D">
      <w:pPr>
        <w:spacing w:line="256" w:lineRule="auto"/>
        <w:jc w:val="both"/>
        <w:rPr>
          <w:rFonts w:ascii="Times New Roman" w:hAnsi="Times New Roman" w:cs="Times New Roman"/>
          <w:sz w:val="24"/>
          <w:szCs w:val="24"/>
        </w:rPr>
      </w:pPr>
      <w:r w:rsidRPr="00AA7A5D">
        <w:rPr>
          <w:rFonts w:ascii="Times New Roman" w:hAnsi="Times New Roman" w:cs="Times New Roman"/>
          <w:b/>
          <w:bCs/>
          <w:i/>
          <w:iCs/>
          <w:color w:val="7030A0"/>
          <w:sz w:val="24"/>
          <w:szCs w:val="24"/>
        </w:rPr>
        <w:t>ΖΗΣΗΣ ΠΑΠΑΣΤΑΜΑΤΗΣ</w:t>
      </w:r>
    </w:p>
    <w:p w14:paraId="3FF5CF41" w14:textId="77777777" w:rsidR="00AA7A5D" w:rsidRPr="00AA7A5D" w:rsidRDefault="00AA7A5D" w:rsidP="00AA7A5D">
      <w:pPr>
        <w:spacing w:line="256" w:lineRule="auto"/>
        <w:jc w:val="both"/>
        <w:rPr>
          <w:rFonts w:ascii="Times New Roman" w:hAnsi="Times New Roman" w:cs="Times New Roman"/>
          <w:sz w:val="24"/>
          <w:szCs w:val="24"/>
        </w:rPr>
      </w:pPr>
      <w:hyperlink r:id="rId7" w:tgtFrame="_blank" w:history="1">
        <w:r w:rsidRPr="00AA7A5D">
          <w:rPr>
            <w:rStyle w:val="-"/>
            <w:rFonts w:ascii="Times New Roman" w:hAnsi="Times New Roman" w:cs="Times New Roman"/>
            <w:b/>
            <w:bCs/>
            <w:i/>
            <w:iCs/>
            <w:color w:val="7030A0"/>
            <w:sz w:val="24"/>
            <w:szCs w:val="24"/>
            <w:lang w:val="en-US"/>
          </w:rPr>
          <w:t>dimosies</w:t>
        </w:r>
        <w:r w:rsidRPr="00AA7A5D">
          <w:rPr>
            <w:rStyle w:val="-"/>
            <w:rFonts w:ascii="Times New Roman" w:hAnsi="Times New Roman" w:cs="Times New Roman"/>
            <w:b/>
            <w:bCs/>
            <w:i/>
            <w:iCs/>
            <w:color w:val="7030A0"/>
            <w:sz w:val="24"/>
            <w:szCs w:val="24"/>
          </w:rPr>
          <w:t>-</w:t>
        </w:r>
        <w:r w:rsidRPr="00AA7A5D">
          <w:rPr>
            <w:rStyle w:val="-"/>
            <w:rFonts w:ascii="Times New Roman" w:hAnsi="Times New Roman" w:cs="Times New Roman"/>
            <w:b/>
            <w:bCs/>
            <w:i/>
            <w:iCs/>
            <w:color w:val="7030A0"/>
            <w:sz w:val="24"/>
            <w:szCs w:val="24"/>
            <w:lang w:val="en-US"/>
          </w:rPr>
          <w:t>symvaseis</w:t>
        </w:r>
        <w:r w:rsidRPr="00AA7A5D">
          <w:rPr>
            <w:rStyle w:val="-"/>
            <w:rFonts w:ascii="Times New Roman" w:hAnsi="Times New Roman" w:cs="Times New Roman"/>
            <w:b/>
            <w:bCs/>
            <w:i/>
            <w:iCs/>
            <w:color w:val="7030A0"/>
            <w:sz w:val="24"/>
            <w:szCs w:val="24"/>
          </w:rPr>
          <w:t>.</w:t>
        </w:r>
        <w:r w:rsidRPr="00AA7A5D">
          <w:rPr>
            <w:rStyle w:val="-"/>
            <w:rFonts w:ascii="Times New Roman" w:hAnsi="Times New Roman" w:cs="Times New Roman"/>
            <w:b/>
            <w:bCs/>
            <w:i/>
            <w:iCs/>
            <w:color w:val="7030A0"/>
            <w:sz w:val="24"/>
            <w:szCs w:val="24"/>
            <w:lang w:val="en-US"/>
          </w:rPr>
          <w:t>gr</w:t>
        </w:r>
      </w:hyperlink>
    </w:p>
    <w:p w14:paraId="541CD6F7" w14:textId="77777777" w:rsidR="00AA7A5D" w:rsidRPr="00AA7A5D" w:rsidRDefault="00AA7A5D" w:rsidP="00AA7A5D">
      <w:pPr>
        <w:spacing w:line="256" w:lineRule="auto"/>
        <w:jc w:val="both"/>
        <w:rPr>
          <w:rFonts w:ascii="Times New Roman" w:hAnsi="Times New Roman" w:cs="Times New Roman"/>
          <w:sz w:val="24"/>
          <w:szCs w:val="24"/>
        </w:rPr>
      </w:pPr>
      <w:r w:rsidRPr="00AA7A5D">
        <w:rPr>
          <w:rFonts w:ascii="Times New Roman" w:hAnsi="Times New Roman" w:cs="Times New Roman"/>
          <w:color w:val="FF0000"/>
          <w:sz w:val="24"/>
          <w:szCs w:val="24"/>
          <w:lang w:val="en-US"/>
        </w:rPr>
        <w:lastRenderedPageBreak/>
        <w:t>email</w:t>
      </w:r>
      <w:r w:rsidRPr="00AA7A5D">
        <w:rPr>
          <w:rFonts w:ascii="Times New Roman" w:hAnsi="Times New Roman" w:cs="Times New Roman"/>
          <w:color w:val="FF0000"/>
          <w:sz w:val="24"/>
          <w:szCs w:val="24"/>
        </w:rPr>
        <w:t>:</w:t>
      </w:r>
      <w:r w:rsidRPr="00AA7A5D">
        <w:rPr>
          <w:rFonts w:ascii="Times New Roman" w:hAnsi="Times New Roman" w:cs="Times New Roman"/>
          <w:color w:val="FF0000"/>
          <w:sz w:val="24"/>
          <w:szCs w:val="24"/>
          <w:lang w:val="en-US"/>
        </w:rPr>
        <w:t> </w:t>
      </w:r>
      <w:hyperlink r:id="rId8" w:tgtFrame="_blank" w:history="1">
        <w:r w:rsidRPr="00AA7A5D">
          <w:rPr>
            <w:rStyle w:val="-"/>
            <w:rFonts w:ascii="Times New Roman" w:hAnsi="Times New Roman" w:cs="Times New Roman"/>
            <w:b/>
            <w:bCs/>
            <w:i/>
            <w:iCs/>
            <w:sz w:val="24"/>
            <w:szCs w:val="24"/>
            <w:lang w:val="en-US"/>
          </w:rPr>
          <w:t>zpapastamatis</w:t>
        </w:r>
        <w:r w:rsidRPr="00AA7A5D">
          <w:rPr>
            <w:rStyle w:val="-"/>
            <w:rFonts w:ascii="Times New Roman" w:hAnsi="Times New Roman" w:cs="Times New Roman"/>
            <w:b/>
            <w:bCs/>
            <w:i/>
            <w:iCs/>
            <w:sz w:val="24"/>
            <w:szCs w:val="24"/>
          </w:rPr>
          <w:t>@</w:t>
        </w:r>
        <w:r w:rsidRPr="00AA7A5D">
          <w:rPr>
            <w:rStyle w:val="-"/>
            <w:rFonts w:ascii="Times New Roman" w:hAnsi="Times New Roman" w:cs="Times New Roman"/>
            <w:b/>
            <w:bCs/>
            <w:i/>
            <w:iCs/>
            <w:sz w:val="24"/>
            <w:szCs w:val="24"/>
            <w:lang w:val="en-US"/>
          </w:rPr>
          <w:t>gmail</w:t>
        </w:r>
        <w:r w:rsidRPr="00AA7A5D">
          <w:rPr>
            <w:rStyle w:val="-"/>
            <w:rFonts w:ascii="Times New Roman" w:hAnsi="Times New Roman" w:cs="Times New Roman"/>
            <w:b/>
            <w:bCs/>
            <w:i/>
            <w:iCs/>
            <w:sz w:val="24"/>
            <w:szCs w:val="24"/>
          </w:rPr>
          <w:t>.</w:t>
        </w:r>
        <w:r w:rsidRPr="00AA7A5D">
          <w:rPr>
            <w:rStyle w:val="-"/>
            <w:rFonts w:ascii="Times New Roman" w:hAnsi="Times New Roman" w:cs="Times New Roman"/>
            <w:b/>
            <w:bCs/>
            <w:i/>
            <w:iCs/>
            <w:sz w:val="24"/>
            <w:szCs w:val="24"/>
            <w:lang w:val="en-US"/>
          </w:rPr>
          <w:t>com</w:t>
        </w:r>
      </w:hyperlink>
    </w:p>
    <w:p w14:paraId="2D0C1793" w14:textId="716FA036" w:rsidR="00000876" w:rsidRPr="00AA7A5D" w:rsidRDefault="00AA7A5D" w:rsidP="00AA7A5D">
      <w:pPr>
        <w:pStyle w:val="-HTML"/>
        <w:shd w:val="clear" w:color="auto" w:fill="FFFFFF"/>
        <w:jc w:val="both"/>
        <w:rPr>
          <w:rFonts w:ascii="Times New Roman" w:hAnsi="Times New Roman" w:cs="Times New Roman"/>
          <w:b/>
          <w:bCs/>
          <w:sz w:val="24"/>
          <w:szCs w:val="24"/>
        </w:rPr>
      </w:pPr>
      <w:r w:rsidRPr="00AA7A5D">
        <w:rPr>
          <w:rFonts w:ascii="Times New Roman" w:hAnsi="Times New Roman" w:cs="Times New Roman"/>
          <w:sz w:val="24"/>
          <w:szCs w:val="24"/>
        </w:rPr>
        <w:t>Τηλ. Επικοινωνίας :</w:t>
      </w:r>
      <w:r w:rsidRPr="00AA7A5D">
        <w:rPr>
          <w:rFonts w:ascii="Times New Roman" w:hAnsi="Times New Roman" w:cs="Times New Roman"/>
          <w:i/>
          <w:iCs/>
          <w:sz w:val="24"/>
          <w:szCs w:val="24"/>
        </w:rPr>
        <w:t> 6945558980</w:t>
      </w:r>
    </w:p>
    <w:p w14:paraId="14E3CA44" w14:textId="77777777" w:rsidR="00000876" w:rsidRPr="00AA7A5D" w:rsidRDefault="00000876" w:rsidP="00C55D85">
      <w:pPr>
        <w:pStyle w:val="-HTML"/>
        <w:shd w:val="clear" w:color="auto" w:fill="FFFFFF"/>
        <w:jc w:val="both"/>
        <w:rPr>
          <w:rFonts w:ascii="Times New Roman" w:hAnsi="Times New Roman" w:cs="Times New Roman"/>
          <w:b/>
          <w:bCs/>
          <w:sz w:val="24"/>
          <w:szCs w:val="24"/>
        </w:rPr>
      </w:pPr>
    </w:p>
    <w:p w14:paraId="5D69F571" w14:textId="77777777" w:rsidR="00C55D85" w:rsidRPr="00AA7A5D" w:rsidRDefault="00C55D85" w:rsidP="00C55D85">
      <w:pPr>
        <w:jc w:val="both"/>
        <w:rPr>
          <w:rFonts w:ascii="Times New Roman" w:eastAsia="SimSun" w:hAnsi="Times New Roman" w:cs="Times New Roman"/>
          <w:sz w:val="24"/>
          <w:szCs w:val="24"/>
          <w:lang w:eastAsia="zh-CN"/>
        </w:rPr>
      </w:pPr>
    </w:p>
    <w:sectPr w:rsidR="00C55D85" w:rsidRPr="00AA7A5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3F27" w14:textId="77777777" w:rsidR="003F4CD0" w:rsidRDefault="003F4CD0" w:rsidP="003F4CD0">
      <w:pPr>
        <w:spacing w:after="0" w:line="240" w:lineRule="auto"/>
      </w:pPr>
      <w:r>
        <w:separator/>
      </w:r>
    </w:p>
  </w:endnote>
  <w:endnote w:type="continuationSeparator" w:id="0">
    <w:p w14:paraId="0AF5B8B7" w14:textId="77777777" w:rsidR="003F4CD0" w:rsidRDefault="003F4CD0" w:rsidP="003F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DDC6" w14:textId="77777777" w:rsidR="003F4CD0" w:rsidRDefault="003F4CD0" w:rsidP="003F4CD0">
      <w:pPr>
        <w:spacing w:after="0" w:line="240" w:lineRule="auto"/>
      </w:pPr>
      <w:r>
        <w:separator/>
      </w:r>
    </w:p>
  </w:footnote>
  <w:footnote w:type="continuationSeparator" w:id="0">
    <w:p w14:paraId="670D913C" w14:textId="77777777" w:rsidR="003F4CD0" w:rsidRDefault="003F4CD0" w:rsidP="003F4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039"/>
    <w:multiLevelType w:val="hybridMultilevel"/>
    <w:tmpl w:val="11DC78A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84870AE"/>
    <w:multiLevelType w:val="hybridMultilevel"/>
    <w:tmpl w:val="F368A552"/>
    <w:lvl w:ilvl="0" w:tplc="897AA352">
      <w:start w:val="5"/>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5022005"/>
    <w:multiLevelType w:val="multilevel"/>
    <w:tmpl w:val="113A62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24"/>
    <w:rsid w:val="00000876"/>
    <w:rsid w:val="002613C1"/>
    <w:rsid w:val="002A33C5"/>
    <w:rsid w:val="0035169A"/>
    <w:rsid w:val="003B2BB2"/>
    <w:rsid w:val="003F4CD0"/>
    <w:rsid w:val="004E03E8"/>
    <w:rsid w:val="009055B1"/>
    <w:rsid w:val="00907469"/>
    <w:rsid w:val="009847B6"/>
    <w:rsid w:val="00994041"/>
    <w:rsid w:val="00AA7A5D"/>
    <w:rsid w:val="00C55D85"/>
    <w:rsid w:val="00DB25E5"/>
    <w:rsid w:val="00E1180C"/>
    <w:rsid w:val="00E46C39"/>
    <w:rsid w:val="00E55CCC"/>
    <w:rsid w:val="00E77845"/>
    <w:rsid w:val="00E94C27"/>
    <w:rsid w:val="00EC6B24"/>
    <w:rsid w:val="00F17DA0"/>
    <w:rsid w:val="00FF4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E704"/>
  <w15:chartTrackingRefBased/>
  <w15:docId w15:val="{67A4C6EC-EDCC-4D24-90F0-7F1DFD85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6B24"/>
    <w:rPr>
      <w:color w:val="0563C1" w:themeColor="hyperlink"/>
      <w:u w:val="single"/>
    </w:rPr>
  </w:style>
  <w:style w:type="character" w:styleId="a3">
    <w:name w:val="Unresolved Mention"/>
    <w:basedOn w:val="a0"/>
    <w:uiPriority w:val="99"/>
    <w:semiHidden/>
    <w:unhideWhenUsed/>
    <w:rsid w:val="00EC6B24"/>
    <w:rPr>
      <w:color w:val="605E5C"/>
      <w:shd w:val="clear" w:color="auto" w:fill="E1DFDD"/>
    </w:rPr>
  </w:style>
  <w:style w:type="paragraph" w:styleId="a4">
    <w:name w:val="List Paragraph"/>
    <w:basedOn w:val="a"/>
    <w:uiPriority w:val="34"/>
    <w:qFormat/>
    <w:rsid w:val="00DB25E5"/>
    <w:pPr>
      <w:ind w:left="720"/>
      <w:contextualSpacing/>
    </w:pPr>
  </w:style>
  <w:style w:type="character" w:customStyle="1" w:styleId="-HTMLChar">
    <w:name w:val="Προ-διαμορφωμένο HTML Char"/>
    <w:link w:val="-HTML"/>
    <w:uiPriority w:val="99"/>
    <w:qFormat/>
    <w:rsid w:val="00C55D85"/>
    <w:rPr>
      <w:rFonts w:ascii="Consolas" w:hAnsi="Consolas" w:cs="Consolas"/>
    </w:rPr>
  </w:style>
  <w:style w:type="paragraph" w:styleId="-HTML">
    <w:name w:val="HTML Preformatted"/>
    <w:basedOn w:val="a"/>
    <w:link w:val="-HTMLChar"/>
    <w:uiPriority w:val="99"/>
    <w:unhideWhenUsed/>
    <w:qFormat/>
    <w:rsid w:val="00C55D85"/>
    <w:pPr>
      <w:widowControl w:val="0"/>
      <w:autoSpaceDE w:val="0"/>
      <w:autoSpaceDN w:val="0"/>
      <w:adjustRightInd w:val="0"/>
    </w:pPr>
    <w:rPr>
      <w:rFonts w:ascii="Consolas" w:hAnsi="Consolas" w:cs="Consolas"/>
    </w:rPr>
  </w:style>
  <w:style w:type="character" w:customStyle="1" w:styleId="-HTMLChar1">
    <w:name w:val="Προ-διαμορφωμένο HTML Char1"/>
    <w:basedOn w:val="a0"/>
    <w:uiPriority w:val="99"/>
    <w:semiHidden/>
    <w:rsid w:val="00C55D85"/>
    <w:rPr>
      <w:rFonts w:ascii="Consolas" w:hAnsi="Consolas"/>
      <w:sz w:val="20"/>
      <w:szCs w:val="20"/>
    </w:rPr>
  </w:style>
  <w:style w:type="character" w:styleId="a5">
    <w:name w:val="footnote reference"/>
    <w:uiPriority w:val="99"/>
    <w:qFormat/>
    <w:rsid w:val="003F4CD0"/>
    <w:rPr>
      <w:vertAlign w:val="superscript"/>
    </w:rPr>
  </w:style>
  <w:style w:type="paragraph" w:styleId="Web">
    <w:name w:val="Normal (Web)"/>
    <w:basedOn w:val="a"/>
    <w:uiPriority w:val="99"/>
    <w:unhideWhenUsed/>
    <w:qFormat/>
    <w:rsid w:val="003F4CD0"/>
    <w:pPr>
      <w:spacing w:before="100" w:beforeAutospacing="1" w:after="100" w:afterAutospacing="1"/>
    </w:pPr>
    <w:rPr>
      <w:rFonts w:ascii="Times New Roman" w:eastAsia="Times New Roman" w:hAnsi="Times New Roman" w:cs="Times New Roman"/>
      <w:noProo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apastamatis@gmail.com" TargetMode="External"/><Relationship Id="rId3" Type="http://schemas.openxmlformats.org/officeDocument/2006/relationships/settings" Target="settings.xml"/><Relationship Id="rId7" Type="http://schemas.openxmlformats.org/officeDocument/2006/relationships/hyperlink" Target="http://dimosies-symvase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413</Words>
  <Characters>2233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Ζήσης Παπασταμάτης</cp:lastModifiedBy>
  <cp:revision>12</cp:revision>
  <dcterms:created xsi:type="dcterms:W3CDTF">2021-11-30T07:53:00Z</dcterms:created>
  <dcterms:modified xsi:type="dcterms:W3CDTF">2025-03-21T08:32:00Z</dcterms:modified>
</cp:coreProperties>
</file>