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B24E" w14:textId="6C4D956E" w:rsidR="00F352F9" w:rsidRPr="00E35DAF" w:rsidRDefault="00E35DAF">
      <w:pPr>
        <w:jc w:val="both"/>
        <w:rPr>
          <w:rFonts w:ascii="Times New Roman" w:eastAsia="Calibri" w:hAnsi="Times New Roman"/>
          <w:b/>
          <w:bCs/>
          <w:sz w:val="24"/>
          <w:szCs w:val="24"/>
          <w:lang w:val="el-GR" w:eastAsia="en-US"/>
        </w:rPr>
      </w:pPr>
      <w:r w:rsidRPr="00E35DAF">
        <w:rPr>
          <w:rFonts w:ascii="Times New Roman" w:eastAsia="Calibri" w:hAnsi="Times New Roman"/>
          <w:b/>
          <w:bCs/>
          <w:sz w:val="24"/>
          <w:szCs w:val="24"/>
          <w:lang w:val="el-GR" w:eastAsia="en-US"/>
        </w:rPr>
        <w:t xml:space="preserve">ΘΕΜΑ : </w:t>
      </w:r>
      <w:r w:rsidRPr="00E35DAF">
        <w:rPr>
          <w:rFonts w:ascii="Times New Roman" w:eastAsia="Calibri" w:hAnsi="Times New Roman"/>
          <w:sz w:val="24"/>
          <w:szCs w:val="24"/>
          <w:lang w:val="el-GR" w:eastAsia="en-US"/>
        </w:rPr>
        <w:t>Δάνεια εμπειρία</w:t>
      </w:r>
    </w:p>
    <w:p w14:paraId="4F824149" w14:textId="076631C2" w:rsidR="00F352F9" w:rsidRPr="00E35DAF" w:rsidRDefault="00EA3EB2">
      <w:pPr>
        <w:jc w:val="both"/>
        <w:rPr>
          <w:rFonts w:ascii="Times New Roman" w:eastAsia="Calibri" w:hAnsi="Times New Roman"/>
          <w:sz w:val="24"/>
          <w:szCs w:val="24"/>
          <w:lang w:val="el-GR" w:eastAsia="en-US"/>
        </w:rPr>
      </w:pPr>
      <w:proofErr w:type="spellStart"/>
      <w:r w:rsidRPr="00E35DAF">
        <w:rPr>
          <w:rFonts w:ascii="Times New Roman" w:eastAsia="Calibri" w:hAnsi="Times New Roman"/>
          <w:sz w:val="24"/>
          <w:szCs w:val="24"/>
          <w:lang w:val="el-GR" w:eastAsia="en-US"/>
        </w:rPr>
        <w:t>Ημ</w:t>
      </w:r>
      <w:proofErr w:type="spellEnd"/>
      <w:r w:rsidRPr="00E35DAF">
        <w:rPr>
          <w:rFonts w:ascii="Times New Roman" w:eastAsia="Calibri" w:hAnsi="Times New Roman"/>
          <w:sz w:val="24"/>
          <w:szCs w:val="24"/>
          <w:lang w:val="el-GR" w:eastAsia="en-US"/>
        </w:rPr>
        <w:t>/</w:t>
      </w:r>
      <w:proofErr w:type="spellStart"/>
      <w:r w:rsidRPr="00E35DAF">
        <w:rPr>
          <w:rFonts w:ascii="Times New Roman" w:eastAsia="Calibri" w:hAnsi="Times New Roman"/>
          <w:sz w:val="24"/>
          <w:szCs w:val="24"/>
          <w:lang w:val="el-GR" w:eastAsia="en-US"/>
        </w:rPr>
        <w:t>νία</w:t>
      </w:r>
      <w:proofErr w:type="spellEnd"/>
      <w:r w:rsidRPr="00E35DAF">
        <w:rPr>
          <w:rFonts w:ascii="Times New Roman" w:eastAsia="Calibri" w:hAnsi="Times New Roman"/>
          <w:sz w:val="24"/>
          <w:szCs w:val="24"/>
          <w:lang w:val="el-GR" w:eastAsia="en-US"/>
        </w:rPr>
        <w:t xml:space="preserve"> υποβολής </w:t>
      </w:r>
      <w:r w:rsidRPr="00E35DAF">
        <w:rPr>
          <w:rFonts w:ascii="Times New Roman" w:eastAsia="Calibri" w:hAnsi="Times New Roman"/>
          <w:b/>
          <w:bCs/>
          <w:i/>
          <w:iCs/>
          <w:sz w:val="24"/>
          <w:szCs w:val="24"/>
          <w:lang w:val="el-GR" w:eastAsia="en-US"/>
        </w:rPr>
        <w:t>0</w:t>
      </w:r>
      <w:r w:rsidR="00E35DAF" w:rsidRPr="00E35DAF">
        <w:rPr>
          <w:rFonts w:ascii="Times New Roman" w:eastAsia="Calibri" w:hAnsi="Times New Roman"/>
          <w:b/>
          <w:bCs/>
          <w:i/>
          <w:iCs/>
          <w:sz w:val="24"/>
          <w:szCs w:val="24"/>
          <w:lang w:val="el-GR" w:eastAsia="en-US"/>
        </w:rPr>
        <w:t>5</w:t>
      </w:r>
      <w:r w:rsidRPr="00E35DAF">
        <w:rPr>
          <w:rFonts w:ascii="Times New Roman" w:eastAsia="Calibri" w:hAnsi="Times New Roman"/>
          <w:b/>
          <w:bCs/>
          <w:i/>
          <w:iCs/>
          <w:sz w:val="24"/>
          <w:szCs w:val="24"/>
          <w:lang w:val="el-GR" w:eastAsia="en-US"/>
        </w:rPr>
        <w:t>/0</w:t>
      </w:r>
      <w:r w:rsidR="00E35DAF" w:rsidRPr="00E35DAF">
        <w:rPr>
          <w:rFonts w:ascii="Times New Roman" w:eastAsia="Calibri" w:hAnsi="Times New Roman"/>
          <w:b/>
          <w:bCs/>
          <w:i/>
          <w:iCs/>
          <w:sz w:val="24"/>
          <w:szCs w:val="24"/>
          <w:lang w:val="el-GR" w:eastAsia="en-US"/>
        </w:rPr>
        <w:t>7</w:t>
      </w:r>
      <w:r w:rsidRPr="00E35DAF">
        <w:rPr>
          <w:rFonts w:ascii="Times New Roman" w:eastAsia="Calibri" w:hAnsi="Times New Roman"/>
          <w:b/>
          <w:bCs/>
          <w:i/>
          <w:iCs/>
          <w:sz w:val="24"/>
          <w:szCs w:val="24"/>
          <w:lang w:val="el-GR" w:eastAsia="en-US"/>
        </w:rPr>
        <w:t>/2021</w:t>
      </w:r>
    </w:p>
    <w:p w14:paraId="77762FAB" w14:textId="77777777" w:rsidR="00E35DAF" w:rsidRPr="00E35DAF" w:rsidRDefault="00E35DAF">
      <w:pPr>
        <w:jc w:val="both"/>
        <w:rPr>
          <w:rFonts w:ascii="Times New Roman" w:eastAsia="Calibri" w:hAnsi="Times New Roman"/>
          <w:b/>
          <w:bCs/>
          <w:sz w:val="24"/>
          <w:szCs w:val="24"/>
          <w:lang w:val="el-GR" w:eastAsia="en-US"/>
        </w:rPr>
      </w:pPr>
    </w:p>
    <w:p w14:paraId="5484CB69" w14:textId="49C72228" w:rsidR="00F352F9" w:rsidRPr="00E35DAF" w:rsidRDefault="00EA3EB2">
      <w:pPr>
        <w:jc w:val="both"/>
        <w:rPr>
          <w:rFonts w:ascii="Times New Roman" w:eastAsia="Calibri" w:hAnsi="Times New Roman"/>
          <w:b/>
          <w:bCs/>
          <w:sz w:val="24"/>
          <w:szCs w:val="24"/>
          <w:lang w:val="el-GR" w:eastAsia="en-US"/>
        </w:rPr>
      </w:pPr>
      <w:r w:rsidRPr="00E35DAF">
        <w:rPr>
          <w:rFonts w:ascii="Times New Roman" w:eastAsia="Calibri" w:hAnsi="Times New Roman"/>
          <w:b/>
          <w:bCs/>
          <w:sz w:val="24"/>
          <w:szCs w:val="24"/>
          <w:lang w:val="el-GR" w:eastAsia="en-US"/>
        </w:rPr>
        <w:t xml:space="preserve">Ερώτηση : </w:t>
      </w:r>
    </w:p>
    <w:p w14:paraId="057C6193" w14:textId="77777777" w:rsidR="00F352F9" w:rsidRPr="00E35DAF" w:rsidRDefault="00F352F9">
      <w:pPr>
        <w:jc w:val="both"/>
        <w:rPr>
          <w:rFonts w:ascii="Times New Roman" w:eastAsia="Calibri" w:hAnsi="Times New Roman"/>
          <w:sz w:val="24"/>
          <w:szCs w:val="24"/>
          <w:lang w:val="el-GR" w:eastAsia="en-US"/>
        </w:rPr>
      </w:pPr>
    </w:p>
    <w:p w14:paraId="216AD05E" w14:textId="6A7E9296" w:rsidR="00F352F9" w:rsidRPr="00E35DAF" w:rsidRDefault="00EA3EB2" w:rsidP="00E35DAF">
      <w:p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 xml:space="preserve">Σε ανοικτό διαγωνισμό πρασίνου εταιρεία υπέβαλε προσφορά </w:t>
      </w:r>
      <w:r w:rsidRPr="00E35DAF">
        <w:rPr>
          <w:rFonts w:ascii="Times New Roman" w:eastAsia="Calibri" w:hAnsi="Times New Roman"/>
          <w:b/>
          <w:bCs/>
          <w:sz w:val="24"/>
          <w:szCs w:val="24"/>
          <w:lang w:val="el-GR" w:eastAsia="en-US"/>
        </w:rPr>
        <w:t>στηριζόμενη στις ικανότητες τρίτου φορέα</w:t>
      </w:r>
      <w:r w:rsidRPr="00E35DAF">
        <w:rPr>
          <w:rFonts w:ascii="Times New Roman" w:eastAsia="Calibri" w:hAnsi="Times New Roman"/>
          <w:sz w:val="24"/>
          <w:szCs w:val="24"/>
          <w:lang w:val="el-GR" w:eastAsia="en-US"/>
        </w:rPr>
        <w:t xml:space="preserve"> (εταιρεία) προκειμένου της διαθέσει </w:t>
      </w:r>
      <w:r w:rsidRPr="00E35DAF">
        <w:rPr>
          <w:rFonts w:ascii="Times New Roman" w:eastAsia="Calibri" w:hAnsi="Times New Roman"/>
          <w:b/>
          <w:bCs/>
          <w:sz w:val="24"/>
          <w:szCs w:val="24"/>
          <w:lang w:val="el-GR" w:eastAsia="en-US"/>
        </w:rPr>
        <w:t xml:space="preserve">μισθωτό χειριστή μηχανήματος έργου </w:t>
      </w:r>
      <w:r w:rsidRPr="00E35DAF">
        <w:rPr>
          <w:rFonts w:ascii="Times New Roman" w:eastAsia="Calibri" w:hAnsi="Times New Roman"/>
          <w:sz w:val="24"/>
          <w:szCs w:val="24"/>
          <w:lang w:val="el-GR" w:eastAsia="en-US"/>
        </w:rPr>
        <w:t xml:space="preserve">συγκεκριμένης ειδικότητας την οποία </w:t>
      </w:r>
      <w:r w:rsidRPr="00E35DAF">
        <w:rPr>
          <w:rFonts w:ascii="Times New Roman" w:eastAsia="Calibri" w:hAnsi="Times New Roman"/>
          <w:b/>
          <w:bCs/>
          <w:sz w:val="24"/>
          <w:szCs w:val="24"/>
          <w:lang w:val="el-GR" w:eastAsia="en-US"/>
        </w:rPr>
        <w:t xml:space="preserve">και δεν διέθετε η </w:t>
      </w:r>
      <w:proofErr w:type="spellStart"/>
      <w:r w:rsidRPr="00E35DAF">
        <w:rPr>
          <w:rFonts w:ascii="Times New Roman" w:eastAsia="Calibri" w:hAnsi="Times New Roman"/>
          <w:b/>
          <w:bCs/>
          <w:sz w:val="24"/>
          <w:szCs w:val="24"/>
          <w:lang w:val="el-GR" w:eastAsia="en-US"/>
        </w:rPr>
        <w:t>ιδια</w:t>
      </w:r>
      <w:proofErr w:type="spellEnd"/>
      <w:r w:rsidRPr="00E35DAF">
        <w:rPr>
          <w:rFonts w:ascii="Times New Roman" w:eastAsia="Calibri" w:hAnsi="Times New Roman"/>
          <w:sz w:val="24"/>
          <w:szCs w:val="24"/>
          <w:lang w:val="el-GR" w:eastAsia="en-US"/>
        </w:rPr>
        <w:t xml:space="preserve"> . Υποβλήθηκε ΤΕΥΔ από τον τρίτο οικονομικό φορέα και δήλωση συνεργασίας (Ι.Δ., ΑΠΔ, ΑΔΕΙΑ ΧΕΙΡΙΣΤΗ) . </w:t>
      </w:r>
    </w:p>
    <w:p w14:paraId="19C86697" w14:textId="77777777" w:rsidR="00F352F9" w:rsidRPr="00E35DAF" w:rsidRDefault="00EA3EB2">
      <w:p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 xml:space="preserve">Τι πρέπει να προσέξουμε ώστε να εξασφαλίζεται ότι ο οικονομικός φορέας στις ικανότητες του οποίου στηρίζεται ο ανάδοχος θα εκτελέσει και τις εργασίες για τις οποίες απαιτούνται οι συγκεκριμένες ικανότητες;(άρθρο 78 παρ. 1 Ν 4412/2016) </w:t>
      </w:r>
    </w:p>
    <w:p w14:paraId="38146A6D" w14:textId="77777777" w:rsidR="00F352F9" w:rsidRPr="00E35DAF" w:rsidRDefault="00EA3EB2">
      <w:p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Σας ευχαριστώ για την πολύτιμη βοήθειά σας.....</w:t>
      </w:r>
    </w:p>
    <w:p w14:paraId="02439A96" w14:textId="77777777" w:rsidR="00F352F9" w:rsidRPr="00E35DAF" w:rsidRDefault="00F352F9">
      <w:pPr>
        <w:jc w:val="both"/>
        <w:rPr>
          <w:rFonts w:ascii="Times New Roman" w:eastAsia="Calibri" w:hAnsi="Times New Roman"/>
          <w:sz w:val="24"/>
          <w:szCs w:val="24"/>
          <w:lang w:val="el-GR" w:eastAsia="en-US"/>
        </w:rPr>
      </w:pPr>
    </w:p>
    <w:p w14:paraId="768E2ECD" w14:textId="77777777" w:rsidR="00F352F9" w:rsidRPr="00E35DAF" w:rsidRDefault="00F352F9">
      <w:pPr>
        <w:jc w:val="both"/>
        <w:rPr>
          <w:rFonts w:ascii="Times New Roman" w:eastAsia="Calibri" w:hAnsi="Times New Roman"/>
          <w:b/>
          <w:bCs/>
          <w:sz w:val="24"/>
          <w:szCs w:val="24"/>
          <w:lang w:val="el-GR" w:eastAsia="en-US"/>
        </w:rPr>
      </w:pPr>
    </w:p>
    <w:p w14:paraId="47A66529" w14:textId="77777777" w:rsidR="00F352F9" w:rsidRPr="00E35DAF" w:rsidRDefault="00EA3EB2">
      <w:pPr>
        <w:jc w:val="both"/>
        <w:rPr>
          <w:rFonts w:ascii="Times New Roman" w:eastAsia="Calibri" w:hAnsi="Times New Roman"/>
          <w:sz w:val="24"/>
          <w:szCs w:val="24"/>
          <w:lang w:val="el-GR" w:eastAsia="en-US"/>
        </w:rPr>
      </w:pPr>
      <w:r w:rsidRPr="00E35DAF">
        <w:rPr>
          <w:rFonts w:ascii="Times New Roman" w:eastAsia="Calibri" w:hAnsi="Times New Roman"/>
          <w:b/>
          <w:bCs/>
          <w:sz w:val="24"/>
          <w:szCs w:val="24"/>
          <w:lang w:val="el-GR" w:eastAsia="en-US"/>
        </w:rPr>
        <w:t xml:space="preserve">Απάντηση : </w:t>
      </w:r>
    </w:p>
    <w:p w14:paraId="5583BC05" w14:textId="77777777" w:rsidR="00F352F9" w:rsidRPr="00E35DAF" w:rsidRDefault="00F352F9">
      <w:pPr>
        <w:jc w:val="both"/>
        <w:rPr>
          <w:rFonts w:ascii="Times New Roman" w:eastAsia="Calibri" w:hAnsi="Times New Roman"/>
          <w:sz w:val="24"/>
          <w:szCs w:val="24"/>
          <w:lang w:val="el-GR" w:eastAsia="en-US"/>
        </w:rPr>
      </w:pPr>
    </w:p>
    <w:p w14:paraId="39D0FBC3" w14:textId="77777777" w:rsidR="00F352F9" w:rsidRPr="00E35DAF" w:rsidRDefault="00EA3EB2">
      <w:p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 xml:space="preserve">Με το </w:t>
      </w:r>
      <w:proofErr w:type="spellStart"/>
      <w:r w:rsidRPr="00E35DAF">
        <w:rPr>
          <w:rFonts w:ascii="Times New Roman" w:eastAsia="Calibri" w:hAnsi="Times New Roman"/>
          <w:sz w:val="24"/>
          <w:szCs w:val="24"/>
          <w:lang w:val="el-GR" w:eastAsia="en-US"/>
        </w:rPr>
        <w:t>άρ</w:t>
      </w:r>
      <w:proofErr w:type="spellEnd"/>
      <w:r w:rsidRPr="00E35DAF">
        <w:rPr>
          <w:rFonts w:ascii="Times New Roman" w:eastAsia="Calibri" w:hAnsi="Times New Roman"/>
          <w:sz w:val="24"/>
          <w:szCs w:val="24"/>
          <w:lang w:val="el-GR" w:eastAsia="en-US"/>
        </w:rPr>
        <w:t>. 78 Ν. 4412/2016 θεσπίζεται ευχέρεια των προσφερόντων να στηριχθούν σε ικανότητες τρίτων οικονομικών φορέων προς πλήρωση μεταξύ άλλων και του κριτηρίου επιλογής του ανωτέρω όρου,</w:t>
      </w:r>
    </w:p>
    <w:p w14:paraId="2157298E" w14:textId="77777777" w:rsidR="008038A8" w:rsidRPr="00E35DAF" w:rsidRDefault="00253EA0">
      <w:p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 xml:space="preserve">Σύμφωνα με την </w:t>
      </w:r>
      <w:r w:rsidRPr="00E35DAF">
        <w:rPr>
          <w:rFonts w:ascii="Times New Roman" w:eastAsia="Calibri" w:hAnsi="Times New Roman"/>
          <w:b/>
          <w:bCs/>
          <w:sz w:val="24"/>
          <w:szCs w:val="24"/>
          <w:lang w:val="el-GR" w:eastAsia="en-US"/>
        </w:rPr>
        <w:t xml:space="preserve">Κατευθυντήρια Οδηγία 14/2016 ΕΑΑΔΗΣΥ, </w:t>
      </w:r>
      <w:r w:rsidRPr="00E35DAF">
        <w:rPr>
          <w:rFonts w:ascii="Times New Roman" w:eastAsia="Calibri" w:hAnsi="Times New Roman"/>
          <w:sz w:val="24"/>
          <w:szCs w:val="24"/>
          <w:lang w:val="el-GR" w:eastAsia="en-US"/>
        </w:rPr>
        <w:t xml:space="preserve">σχετικά με τη δυνατότητα δανεισμού ικανότητας τρίτων κατά την ανάθεση δημοσίων συμβάσεων, </w:t>
      </w:r>
      <w:r w:rsidR="0033677B" w:rsidRPr="00E35DAF">
        <w:rPr>
          <w:rFonts w:ascii="Times New Roman" w:eastAsia="Calibri" w:hAnsi="Times New Roman"/>
          <w:sz w:val="24"/>
          <w:szCs w:val="24"/>
          <w:lang w:val="el-GR" w:eastAsia="en-US"/>
        </w:rPr>
        <w:t>σ</w:t>
      </w:r>
      <w:r w:rsidR="00EA3EB2" w:rsidRPr="00E35DAF">
        <w:rPr>
          <w:rFonts w:ascii="Times New Roman" w:eastAsia="Calibri" w:hAnsi="Times New Roman"/>
          <w:sz w:val="24"/>
          <w:szCs w:val="24"/>
          <w:lang w:val="el-GR" w:eastAsia="en-US"/>
        </w:rPr>
        <w:t xml:space="preserve">ε  διαδικασίες  σύναψης  συμβάσεων  έργων όσον αφορά τα κριτήρια της οικονομικής και χρηματοοικονομικής επάρκειας και τα κριτήρια σχετικά με την τεχνική και επαγγελματική ικανότητα, ένας οικονομικός φορέας μπορεί, να στηρίζεται στις ικανότητες άλλων φορέων, ασχέτως της νομικής φύσης των δεσμών του με </w:t>
      </w:r>
      <w:r w:rsidR="008038A8" w:rsidRPr="00E35DAF">
        <w:rPr>
          <w:rFonts w:ascii="Times New Roman" w:eastAsia="Calibri" w:hAnsi="Times New Roman"/>
          <w:sz w:val="24"/>
          <w:szCs w:val="24"/>
          <w:lang w:val="el-GR" w:eastAsia="en-US"/>
        </w:rPr>
        <w:t>αυτούς.</w:t>
      </w:r>
    </w:p>
    <w:p w14:paraId="27E1EB87" w14:textId="77777777" w:rsidR="00F352F9" w:rsidRPr="00E35DAF" w:rsidRDefault="00EA3EB2">
      <w:p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 xml:space="preserve">Τα βασικά στοιχεία του θεσμού της δάνειας εμπειρίας, που διαμορφώθηκε νομολογιακά πριν ακόμα αποτυπωθεί στις κοινοτικές οδηγίες, είναι: α) η αδυναμία του υποψήφιου οικονομικού φορέα να ανταποκριθεί με τα δικά του μέσα στις απαιτήσεις εκτέλεσης της σύμβασης, την οποία επιθυμεί να συνάψει, και η προσφυγή του σε δυνατότητες τρίτου φορέα (χρηματοδοτικές ή τεχνικές δυνατότητες) για την απόδειξη της </w:t>
      </w:r>
      <w:proofErr w:type="spellStart"/>
      <w:r w:rsidRPr="00E35DAF">
        <w:rPr>
          <w:rFonts w:ascii="Times New Roman" w:eastAsia="Calibri" w:hAnsi="Times New Roman"/>
          <w:sz w:val="24"/>
          <w:szCs w:val="24"/>
          <w:lang w:val="el-GR" w:eastAsia="en-US"/>
        </w:rPr>
        <w:t>καταλληλότητάς</w:t>
      </w:r>
      <w:proofErr w:type="spellEnd"/>
      <w:r w:rsidRPr="00E35DAF">
        <w:rPr>
          <w:rFonts w:ascii="Times New Roman" w:eastAsia="Calibri" w:hAnsi="Times New Roman"/>
          <w:sz w:val="24"/>
          <w:szCs w:val="24"/>
          <w:lang w:val="el-GR" w:eastAsia="en-US"/>
        </w:rPr>
        <w:t xml:space="preserve"> του και β) η υποχρέωση του υποψήφιου οικονομικού φορέα να αποδείξει ότι ο τρίτος φορέας έχει τη δυνατότητα να διαθέσει τους επικαλούμενους πόρους και ότι οι πόροι αυτοί θα βρίσκονται πράγματι στη διάθεση του πρώτου για την εκτέλεση της σύμβασης.</w:t>
      </w:r>
    </w:p>
    <w:p w14:paraId="211563B3" w14:textId="77777777" w:rsidR="00F352F9" w:rsidRPr="00E35DAF" w:rsidRDefault="00EA3EB2">
      <w:pPr>
        <w:jc w:val="both"/>
        <w:rPr>
          <w:rFonts w:ascii="Times New Roman" w:eastAsia="Calibri" w:hAnsi="Times New Roman"/>
          <w:b/>
          <w:bCs/>
          <w:sz w:val="24"/>
          <w:szCs w:val="24"/>
          <w:lang w:val="el-GR" w:eastAsia="en-US"/>
        </w:rPr>
      </w:pPr>
      <w:r w:rsidRPr="00E35DAF">
        <w:rPr>
          <w:rFonts w:ascii="Times New Roman" w:eastAsia="Calibri" w:hAnsi="Times New Roman"/>
          <w:b/>
          <w:bCs/>
          <w:sz w:val="24"/>
          <w:szCs w:val="24"/>
          <w:lang w:val="el-GR" w:eastAsia="en-US"/>
        </w:rPr>
        <w:t xml:space="preserve">Διάκριση της Δάνειας εμπειρίας από την Υπεργολαβία : </w:t>
      </w:r>
    </w:p>
    <w:p w14:paraId="4C9E92B5" w14:textId="77777777" w:rsidR="00F352F9" w:rsidRPr="00E35DAF" w:rsidRDefault="00EA3EB2">
      <w:p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l-GR"/>
        </w:rPr>
        <w:t xml:space="preserve">Σύμφωνα με την Απόφαση </w:t>
      </w:r>
      <w:hyperlink r:id="rId5" w:tgtFrame="https://4412.gr/blog/newsletters/%ce%b5%ce%bd%ce%b7%ce%bc%ce%b5%cf%81%cf%89%cf%84%ce%b9%ce%ba%cf%8c-%ce%b4%ce%b5%ce%bb%cf%84%ce%af%ce%bf-4412-gr-16-12-2020/_blank" w:history="1">
        <w:r w:rsidRPr="00E35DAF">
          <w:rPr>
            <w:rFonts w:ascii="Times New Roman" w:eastAsia="Calibri" w:hAnsi="Times New Roman"/>
            <w:sz w:val="24"/>
            <w:szCs w:val="24"/>
            <w:lang w:val="el-GR" w:eastAsia="el-GR"/>
          </w:rPr>
          <w:t>216/2020</w:t>
        </w:r>
      </w:hyperlink>
      <w:r w:rsidRPr="00E35DAF">
        <w:rPr>
          <w:rFonts w:ascii="Times New Roman" w:eastAsia="Calibri" w:hAnsi="Times New Roman"/>
          <w:sz w:val="24"/>
          <w:szCs w:val="24"/>
          <w:lang w:val="el-GR" w:eastAsia="el-GR"/>
        </w:rPr>
        <w:t>ΑΕΠΠ, σ</w:t>
      </w:r>
      <w:r w:rsidRPr="00E35DAF">
        <w:rPr>
          <w:rFonts w:ascii="Times New Roman" w:eastAsia="Calibri" w:hAnsi="Times New Roman"/>
          <w:sz w:val="24"/>
          <w:szCs w:val="24"/>
          <w:lang w:val="el-GR" w:eastAsia="en-US"/>
        </w:rPr>
        <w:t xml:space="preserve">το ισχύον νομοθετικό πλαίσιο που διέπει τις δημόσιες συμβάσεις, η βασική διάκριση της υπεργολαβίας από τη δάνεια εμπειρία, ήτοι τη δυνατότητα να επικαλείται ο υποψήφιος τα μέσα ή την εμπειρία τρίτων, ανεξαρτήτως των δεσμών που τον συνδέουν με αυτούς, προκειμένου να ανταποκριθεί στις απαιτήσεις της αναθέτουσας αρχής ως προς την οικονομική-χρηματοοικονομική επάρκεια ή την τεχνική και επαγγελματική ικανότητα, υπό την προϋπόθεση της δυνατότητας απόδειξης ότι θα έχει στη διάθεση του τους αναγκαίους πόρους, έγκειται στο ότι </w:t>
      </w:r>
    </w:p>
    <w:p w14:paraId="7A6F0AEF" w14:textId="77777777" w:rsidR="00F352F9" w:rsidRPr="00E35DAF" w:rsidRDefault="00EA3EB2">
      <w:pPr>
        <w:numPr>
          <w:ilvl w:val="0"/>
          <w:numId w:val="2"/>
        </w:numPr>
        <w:jc w:val="both"/>
        <w:rPr>
          <w:rFonts w:ascii="Times New Roman" w:eastAsia="Calibri" w:hAnsi="Times New Roman"/>
          <w:sz w:val="24"/>
          <w:szCs w:val="24"/>
          <w:lang w:val="el-GR" w:eastAsia="en-US"/>
        </w:rPr>
      </w:pPr>
      <w:r w:rsidRPr="00E35DAF">
        <w:rPr>
          <w:rFonts w:ascii="Times New Roman" w:eastAsia="Calibri" w:hAnsi="Times New Roman"/>
          <w:bCs/>
          <w:sz w:val="24"/>
          <w:szCs w:val="24"/>
          <w:lang w:val="el-GR" w:eastAsia="en-US"/>
        </w:rPr>
        <w:t>ο «δανειζόμενος» εξακολουθεί να είναι εκείνος που θα εκτελέσει τη σύμβαση</w:t>
      </w:r>
      <w:r w:rsidRPr="00E35DAF">
        <w:rPr>
          <w:rFonts w:ascii="Times New Roman" w:eastAsia="Calibri" w:hAnsi="Times New Roman"/>
          <w:sz w:val="24"/>
          <w:szCs w:val="24"/>
          <w:lang w:val="el-GR" w:eastAsia="en-US"/>
        </w:rPr>
        <w:t xml:space="preserve">, κάνοντας χρήση των πόρων – μέσων που δανείζεται από τρίτους κατά την εκτέλεση αυτής, ενώ </w:t>
      </w:r>
    </w:p>
    <w:p w14:paraId="11036338" w14:textId="77777777" w:rsidR="00F54CE6" w:rsidRPr="00E35DAF" w:rsidRDefault="00EA3EB2" w:rsidP="00F54CE6">
      <w:pPr>
        <w:numPr>
          <w:ilvl w:val="0"/>
          <w:numId w:val="2"/>
        </w:num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lastRenderedPageBreak/>
        <w:t>στην υπεργολαβία το ανατεθέν τμήμα της σύμβασης που αναλαμβάνει να υλοποιήσει ο υπεργολάβος, εκτελείται από τον τελευταίο, υπό τους όρους της σύμβασης που συνάπτ</w:t>
      </w:r>
      <w:r w:rsidR="00F54CE6" w:rsidRPr="00E35DAF">
        <w:rPr>
          <w:rFonts w:ascii="Times New Roman" w:eastAsia="Calibri" w:hAnsi="Times New Roman"/>
          <w:sz w:val="24"/>
          <w:szCs w:val="24"/>
          <w:lang w:val="el-GR" w:eastAsia="en-US"/>
        </w:rPr>
        <w:t>ει ο ανάδοχος με τον υπεργολάβο, καθόσον η υπεργολαβία συνιστά Σύμβαση με την οποία ο εργολάβος αναθέτει με αμοιβή την εκτέλεση ορισμένων εργασιών σε τρίτον, ο οποίος δεν συνδέεται με νομικό δεσμό με τον εργοδότη (φορέα του έργου), έναντι του οποίου μόνος υπεύθυνος για τις εκτελούμενες από τον εργολάβο εργασίες παραμένει ο εργολάβος (570/2007 ΑΠ)</w:t>
      </w:r>
    </w:p>
    <w:p w14:paraId="4EA5C170" w14:textId="77777777" w:rsidR="00EE6723" w:rsidRPr="00E35DAF" w:rsidRDefault="00EE6723" w:rsidP="00116C03">
      <w:pPr>
        <w:jc w:val="both"/>
        <w:rPr>
          <w:rFonts w:ascii="Times New Roman" w:eastAsia="Calibri" w:hAnsi="Times New Roman"/>
          <w:b/>
          <w:sz w:val="24"/>
          <w:szCs w:val="24"/>
          <w:lang w:val="el-GR" w:eastAsia="en-US"/>
        </w:rPr>
      </w:pPr>
      <w:r w:rsidRPr="00E35DAF">
        <w:rPr>
          <w:rFonts w:ascii="Times New Roman" w:eastAsia="Calibri" w:hAnsi="Times New Roman"/>
          <w:b/>
          <w:sz w:val="24"/>
          <w:szCs w:val="24"/>
          <w:lang w:val="el-GR" w:eastAsia="en-US"/>
        </w:rPr>
        <w:t xml:space="preserve">Σημεία προσοχής </w:t>
      </w:r>
      <w:r w:rsidRPr="00E35DAF">
        <w:rPr>
          <w:rFonts w:ascii="Times New Roman" w:eastAsia="Calibri" w:hAnsi="Times New Roman"/>
          <w:b/>
          <w:sz w:val="24"/>
          <w:szCs w:val="24"/>
          <w:lang w:eastAsia="en-US"/>
        </w:rPr>
        <w:t xml:space="preserve">: </w:t>
      </w:r>
    </w:p>
    <w:p w14:paraId="47FAD7F4" w14:textId="77777777" w:rsidR="00EE6723" w:rsidRPr="00E35DAF" w:rsidRDefault="00EE6723" w:rsidP="00EE6723">
      <w:pPr>
        <w:numPr>
          <w:ilvl w:val="0"/>
          <w:numId w:val="3"/>
        </w:num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 xml:space="preserve">Είτε ο οικονομικός φορέας συμμετέχει αυτόνομα, είτε με επίκληση δάνειας εμπειρίας τρίτου φορέα, οφείλει η πλήρωση των κριτηρίων τεχνικής και επαγγελματικής επάρκειάς του να ελέγχεται και να διαπιστώνεται με το ίδιο μέτρο κρίσης και βάρος αξιολόγησης των ίδιων των αποδεικτικών μέσων. </w:t>
      </w:r>
    </w:p>
    <w:p w14:paraId="7D3B858D" w14:textId="77777777" w:rsidR="00EE6723" w:rsidRPr="00E35DAF" w:rsidRDefault="00EE6723" w:rsidP="00EE6723">
      <w:pPr>
        <w:numPr>
          <w:ilvl w:val="0"/>
          <w:numId w:val="3"/>
        </w:num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Υποχρέωση υποβολής ΤΕΥΔ / ΕΕΕΠ και από τον συμμετέχοντα οικονομικό φορέα και από τον φορέα που «δανείζει» την εμπειρία του</w:t>
      </w:r>
    </w:p>
    <w:p w14:paraId="6F7F7139" w14:textId="77777777" w:rsidR="00116C03" w:rsidRPr="00E35DAF" w:rsidRDefault="00116C03" w:rsidP="00EE6723">
      <w:pPr>
        <w:numPr>
          <w:ilvl w:val="0"/>
          <w:numId w:val="3"/>
        </w:num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Σε περίπτωση που η αναθέτουσα Αρχή διαπιστώσει ότι στο πρόσωπο του τρίτου συντρέχει κάποιος λόγος αποκλεισμού ή ελλείπει κάποιο</w:t>
      </w:r>
      <w:r w:rsidR="00EE6723" w:rsidRPr="00E35DAF">
        <w:rPr>
          <w:rFonts w:ascii="Times New Roman" w:eastAsia="Calibri" w:hAnsi="Times New Roman"/>
          <w:sz w:val="24"/>
          <w:szCs w:val="24"/>
          <w:lang w:val="el-GR" w:eastAsia="en-US"/>
        </w:rPr>
        <w:t xml:space="preserve"> κριτήριο επιλογής, ζητά από τον υποψήφιο φορέα να αντικαταστήσει τον τρίτο</w:t>
      </w:r>
    </w:p>
    <w:p w14:paraId="0727936B" w14:textId="77777777" w:rsidR="00F54CE6" w:rsidRPr="00E35DAF" w:rsidRDefault="00F54CE6" w:rsidP="00EE6723">
      <w:pPr>
        <w:numPr>
          <w:ilvl w:val="0"/>
          <w:numId w:val="3"/>
        </w:num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 xml:space="preserve">να </w:t>
      </w:r>
      <w:r w:rsidR="002D2754" w:rsidRPr="00E35DAF">
        <w:rPr>
          <w:rFonts w:ascii="Times New Roman" w:eastAsia="Calibri" w:hAnsi="Times New Roman"/>
          <w:sz w:val="24"/>
          <w:szCs w:val="24"/>
          <w:lang w:val="el-GR" w:eastAsia="en-US"/>
        </w:rPr>
        <w:t>αποδεικνύεται</w:t>
      </w:r>
      <w:r w:rsidRPr="00E35DAF">
        <w:rPr>
          <w:rFonts w:ascii="Times New Roman" w:eastAsia="Calibri" w:hAnsi="Times New Roman"/>
          <w:sz w:val="24"/>
          <w:szCs w:val="24"/>
          <w:lang w:val="el-GR" w:eastAsia="en-US"/>
        </w:rPr>
        <w:t xml:space="preserve"> ότι δεν συντρέχουν λόγοι αποκλεισμού τόσο για τον ίδιο, όσο και για τον τρίτο φορέα</w:t>
      </w:r>
    </w:p>
    <w:p w14:paraId="144F1F27" w14:textId="77777777" w:rsidR="008038A8" w:rsidRPr="00E35DAF" w:rsidRDefault="008038A8" w:rsidP="00116C03">
      <w:pPr>
        <w:jc w:val="both"/>
        <w:rPr>
          <w:rFonts w:ascii="Times New Roman" w:eastAsia="Calibri" w:hAnsi="Times New Roman"/>
          <w:b/>
          <w:sz w:val="24"/>
          <w:szCs w:val="24"/>
          <w:lang w:val="el-GR" w:eastAsia="en-US"/>
        </w:rPr>
      </w:pPr>
      <w:r w:rsidRPr="00E35DAF">
        <w:rPr>
          <w:rFonts w:ascii="Times New Roman" w:eastAsia="Calibri" w:hAnsi="Times New Roman"/>
          <w:b/>
          <w:sz w:val="24"/>
          <w:szCs w:val="24"/>
          <w:lang w:val="el-GR" w:eastAsia="en-US"/>
        </w:rPr>
        <w:t xml:space="preserve">Παραδείγματα από την Νομολογία </w:t>
      </w:r>
      <w:r w:rsidRPr="00E35DAF">
        <w:rPr>
          <w:rFonts w:ascii="Times New Roman" w:eastAsia="Calibri" w:hAnsi="Times New Roman"/>
          <w:b/>
          <w:sz w:val="24"/>
          <w:szCs w:val="24"/>
          <w:lang w:eastAsia="en-US"/>
        </w:rPr>
        <w:t>:</w:t>
      </w:r>
    </w:p>
    <w:p w14:paraId="3A6AE63F" w14:textId="77777777" w:rsidR="008038A8" w:rsidRPr="00E35DAF" w:rsidRDefault="00116C03" w:rsidP="00116C03">
      <w:pPr>
        <w:pStyle w:val="a3"/>
        <w:numPr>
          <w:ilvl w:val="0"/>
          <w:numId w:val="4"/>
        </w:num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 xml:space="preserve">Με την </w:t>
      </w:r>
      <w:hyperlink r:id="rId6" w:history="1">
        <w:r w:rsidRPr="00E35DAF">
          <w:rPr>
            <w:rFonts w:ascii="Times New Roman" w:eastAsia="Calibri" w:hAnsi="Times New Roman"/>
            <w:sz w:val="24"/>
            <w:szCs w:val="24"/>
            <w:lang w:val="el-GR" w:eastAsia="en-US"/>
          </w:rPr>
          <w:t xml:space="preserve">Απόφαση 1068/2018 </w:t>
        </w:r>
        <w:r w:rsidR="0087263F" w:rsidRPr="00E35DAF">
          <w:rPr>
            <w:rFonts w:ascii="Times New Roman" w:eastAsia="Calibri" w:hAnsi="Times New Roman"/>
            <w:sz w:val="24"/>
            <w:szCs w:val="24"/>
            <w:lang w:val="el-GR" w:eastAsia="en-US"/>
          </w:rPr>
          <w:t xml:space="preserve">το </w:t>
        </w:r>
        <w:r w:rsidRPr="00E35DAF">
          <w:rPr>
            <w:rFonts w:ascii="Times New Roman" w:eastAsia="Calibri" w:hAnsi="Times New Roman"/>
            <w:sz w:val="24"/>
            <w:szCs w:val="24"/>
            <w:lang w:val="el-GR" w:eastAsia="en-US"/>
          </w:rPr>
          <w:t xml:space="preserve">Τμήμα 6 </w:t>
        </w:r>
        <w:proofErr w:type="spellStart"/>
        <w:r w:rsidRPr="00E35DAF">
          <w:rPr>
            <w:rFonts w:ascii="Times New Roman" w:eastAsia="Calibri" w:hAnsi="Times New Roman"/>
            <w:sz w:val="24"/>
            <w:szCs w:val="24"/>
            <w:lang w:val="el-GR" w:eastAsia="en-US"/>
          </w:rPr>
          <w:t>ΕλΣυν</w:t>
        </w:r>
        <w:proofErr w:type="spellEnd"/>
        <w:r w:rsidRPr="00E35DAF">
          <w:rPr>
            <w:rFonts w:ascii="Times New Roman" w:eastAsia="Calibri" w:hAnsi="Times New Roman"/>
            <w:sz w:val="24"/>
            <w:szCs w:val="24"/>
            <w:lang w:val="el-GR" w:eastAsia="en-US"/>
          </w:rPr>
          <w:t xml:space="preserve"> (</w:t>
        </w:r>
        <w:r w:rsidR="003F6A77" w:rsidRPr="00E35DAF">
          <w:rPr>
            <w:rFonts w:ascii="Times New Roman" w:eastAsia="Calibri" w:hAnsi="Times New Roman"/>
            <w:sz w:val="24"/>
            <w:szCs w:val="24"/>
            <w:lang w:val="el-GR" w:eastAsia="en-US"/>
          </w:rPr>
          <w:t xml:space="preserve">την οποία το Τμ. </w:t>
        </w:r>
        <w:proofErr w:type="spellStart"/>
        <w:r w:rsidR="003F6A77" w:rsidRPr="00E35DAF">
          <w:rPr>
            <w:rFonts w:ascii="Times New Roman" w:eastAsia="Calibri" w:hAnsi="Times New Roman"/>
            <w:sz w:val="24"/>
            <w:szCs w:val="24"/>
            <w:lang w:val="el-GR" w:eastAsia="en-US"/>
          </w:rPr>
          <w:t>Μείζ</w:t>
        </w:r>
        <w:proofErr w:type="spellEnd"/>
        <w:r w:rsidR="003F6A77" w:rsidRPr="00E35DAF">
          <w:rPr>
            <w:rFonts w:ascii="Times New Roman" w:eastAsia="Calibri" w:hAnsi="Times New Roman"/>
            <w:sz w:val="24"/>
            <w:szCs w:val="24"/>
            <w:lang w:val="el-GR" w:eastAsia="en-US"/>
          </w:rPr>
          <w:t>. Με την 1354/2018 Απόφασή του έκρινε μ</w:t>
        </w:r>
        <w:r w:rsidRPr="00E35DAF">
          <w:rPr>
            <w:rFonts w:ascii="Times New Roman" w:eastAsia="Calibri" w:hAnsi="Times New Roman"/>
            <w:sz w:val="24"/>
            <w:szCs w:val="24"/>
            <w:lang w:val="el-GR" w:eastAsia="en-US"/>
          </w:rPr>
          <w:t xml:space="preserve">η </w:t>
        </w:r>
        <w:proofErr w:type="spellStart"/>
        <w:r w:rsidRPr="00E35DAF">
          <w:rPr>
            <w:rFonts w:ascii="Times New Roman" w:eastAsia="Calibri" w:hAnsi="Times New Roman"/>
            <w:sz w:val="24"/>
            <w:szCs w:val="24"/>
            <w:lang w:val="el-GR" w:eastAsia="en-US"/>
          </w:rPr>
          <w:t>αναθεωρητέα</w:t>
        </w:r>
        <w:proofErr w:type="spellEnd"/>
      </w:hyperlink>
      <w:r w:rsidRPr="00E35DAF">
        <w:rPr>
          <w:rFonts w:ascii="Times New Roman" w:eastAsia="Calibri" w:hAnsi="Times New Roman"/>
          <w:sz w:val="24"/>
          <w:szCs w:val="24"/>
          <w:lang w:val="el-GR" w:eastAsia="en-US"/>
        </w:rPr>
        <w:t>) έκρινε μη νόμιμο τ</w:t>
      </w:r>
      <w:r w:rsidRPr="00E35DAF">
        <w:rPr>
          <w:rFonts w:ascii="Times New Roman" w:eastAsia="Calibri" w:hAnsi="Times New Roman"/>
          <w:sz w:val="24"/>
          <w:szCs w:val="24"/>
          <w:lang w:eastAsia="en-US"/>
        </w:rPr>
        <w:t>o</w:t>
      </w:r>
      <w:r w:rsidRPr="00E35DAF">
        <w:rPr>
          <w:rFonts w:ascii="Times New Roman" w:eastAsia="Calibri" w:hAnsi="Times New Roman"/>
          <w:sz w:val="24"/>
          <w:szCs w:val="24"/>
          <w:lang w:val="el-GR" w:eastAsia="en-US"/>
        </w:rPr>
        <w:t>ν όρο της Διακήρυξης που επιτρέπει την πλήρη απαλλαγή του συμμετέχοντος - που επικαλέστηκε με την προσφορά του τις ικανότητες τρίτου οικονομικού φορέα (δάνεια εμπειρία) - από την προσκόμιση των απαιτούμενων δικαιολογητικών (μεταξύ αυτών, περιλαμβάνονται απόσπασμα ποινικού μητρώου, πιστοποιητικό φορολογικής ενημερότητας καθώς και ενημερότητας εισφορών κοινωνικής ασφάλισης, πιστοποιητικό εγγραφής στο οικείο Επιμελητήριο, πιστοποιητικό περί μη πτώχευσης ή μη θέσης σε εκκαθάριση) που να αποδεικνύουν ότι δεν συντρέχουν λόγοι αποκλεισμού τόσο για τον ίδιο, όσο και για τον τρίτο φορέα, καθόσον η μη υποβολή αυτών θα απέληγε σε καταστρατήγηση των άρθρων 47 και 48 της Οδηγίας 2004/18/ΕΚ</w:t>
      </w:r>
    </w:p>
    <w:p w14:paraId="320FD8E0" w14:textId="77777777" w:rsidR="008038A8" w:rsidRPr="00E35DAF" w:rsidRDefault="0087263F" w:rsidP="00253EA0">
      <w:pPr>
        <w:pStyle w:val="a3"/>
        <w:numPr>
          <w:ilvl w:val="0"/>
          <w:numId w:val="4"/>
        </w:num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 xml:space="preserve">Με την </w:t>
      </w:r>
      <w:hyperlink r:id="rId7" w:history="1">
        <w:r w:rsidR="002D2754" w:rsidRPr="00E35DAF">
          <w:rPr>
            <w:rFonts w:ascii="Times New Roman" w:eastAsia="Calibri" w:hAnsi="Times New Roman"/>
            <w:sz w:val="24"/>
            <w:szCs w:val="24"/>
            <w:lang w:val="el-GR" w:eastAsia="en-US"/>
          </w:rPr>
          <w:t xml:space="preserve">Πράξη 153/2018 </w:t>
        </w:r>
        <w:r w:rsidRPr="00E35DAF">
          <w:rPr>
            <w:rFonts w:ascii="Times New Roman" w:eastAsia="Calibri" w:hAnsi="Times New Roman"/>
            <w:sz w:val="24"/>
            <w:szCs w:val="24"/>
            <w:lang w:val="el-GR" w:eastAsia="en-US"/>
          </w:rPr>
          <w:t xml:space="preserve">το </w:t>
        </w:r>
        <w:r w:rsidR="002D2754" w:rsidRPr="00E35DAF">
          <w:rPr>
            <w:rFonts w:ascii="Times New Roman" w:eastAsia="Calibri" w:hAnsi="Times New Roman"/>
            <w:sz w:val="24"/>
            <w:szCs w:val="24"/>
            <w:lang w:val="el-GR" w:eastAsia="en-US"/>
          </w:rPr>
          <w:t>Κλιμάκιο Ζ’</w:t>
        </w:r>
      </w:hyperlink>
      <w:r w:rsidR="002D2754" w:rsidRPr="00E35DAF">
        <w:rPr>
          <w:rFonts w:ascii="Times New Roman" w:eastAsia="Calibri" w:hAnsi="Times New Roman"/>
          <w:sz w:val="24"/>
          <w:szCs w:val="24"/>
          <w:lang w:val="el-GR" w:eastAsia="en-US"/>
        </w:rPr>
        <w:t xml:space="preserve"> </w:t>
      </w:r>
      <w:proofErr w:type="spellStart"/>
      <w:r w:rsidRPr="00E35DAF">
        <w:rPr>
          <w:rFonts w:ascii="Times New Roman" w:eastAsia="Calibri" w:hAnsi="Times New Roman"/>
          <w:sz w:val="24"/>
          <w:szCs w:val="24"/>
          <w:lang w:val="el-GR" w:eastAsia="en-US"/>
        </w:rPr>
        <w:t>ΕλΣυν</w:t>
      </w:r>
      <w:proofErr w:type="spellEnd"/>
      <w:r w:rsidR="008038A8" w:rsidRPr="00E35DAF">
        <w:rPr>
          <w:rFonts w:ascii="Times New Roman" w:eastAsia="Calibri" w:hAnsi="Times New Roman"/>
          <w:sz w:val="24"/>
          <w:szCs w:val="24"/>
          <w:lang w:val="el-GR" w:eastAsia="en-US"/>
        </w:rPr>
        <w:t xml:space="preserve"> (Σχετική και η </w:t>
      </w:r>
      <w:hyperlink r:id="rId8" w:history="1">
        <w:r w:rsidR="008038A8" w:rsidRPr="00E35DAF">
          <w:rPr>
            <w:rFonts w:ascii="Times New Roman" w:eastAsia="Calibri" w:hAnsi="Times New Roman"/>
            <w:i/>
            <w:sz w:val="24"/>
            <w:szCs w:val="24"/>
            <w:lang w:val="el-GR" w:eastAsia="en-US"/>
          </w:rPr>
          <w:t>Πράξη 341/2018 ΣΤ’ Κλιμακίο</w:t>
        </w:r>
      </w:hyperlink>
      <w:r w:rsidR="008038A8" w:rsidRPr="00E35DAF">
        <w:rPr>
          <w:rFonts w:ascii="Times New Roman" w:eastAsia="Calibri" w:hAnsi="Times New Roman"/>
          <w:i/>
          <w:sz w:val="24"/>
          <w:szCs w:val="24"/>
          <w:lang w:val="el-GR" w:eastAsia="en-US"/>
        </w:rPr>
        <w:t xml:space="preserve">υ </w:t>
      </w:r>
      <w:proofErr w:type="spellStart"/>
      <w:r w:rsidR="008038A8" w:rsidRPr="00E35DAF">
        <w:rPr>
          <w:rFonts w:ascii="Times New Roman" w:eastAsia="Calibri" w:hAnsi="Times New Roman"/>
          <w:sz w:val="24"/>
          <w:szCs w:val="24"/>
          <w:lang w:val="el-GR" w:eastAsia="en-US"/>
        </w:rPr>
        <w:t>ΕλΣυν</w:t>
      </w:r>
      <w:proofErr w:type="spellEnd"/>
      <w:r w:rsidR="008038A8" w:rsidRPr="00E35DAF">
        <w:rPr>
          <w:rFonts w:ascii="Times New Roman" w:eastAsia="Calibri" w:hAnsi="Times New Roman"/>
          <w:sz w:val="24"/>
          <w:szCs w:val="24"/>
          <w:lang w:val="el-GR" w:eastAsia="en-US"/>
        </w:rPr>
        <w:t xml:space="preserve">) </w:t>
      </w:r>
      <w:r w:rsidRPr="00E35DAF">
        <w:rPr>
          <w:rFonts w:ascii="Times New Roman" w:eastAsia="Calibri" w:hAnsi="Times New Roman"/>
          <w:sz w:val="24"/>
          <w:szCs w:val="24"/>
          <w:lang w:val="el-GR" w:eastAsia="en-US"/>
        </w:rPr>
        <w:t>έκρινε ότι</w:t>
      </w:r>
      <w:r w:rsidR="002D2754" w:rsidRPr="00E35DAF">
        <w:rPr>
          <w:rFonts w:ascii="Times New Roman" w:eastAsia="Calibri" w:hAnsi="Times New Roman"/>
          <w:sz w:val="24"/>
          <w:szCs w:val="24"/>
          <w:lang w:val="el-GR" w:eastAsia="en-US"/>
        </w:rPr>
        <w:t xml:space="preserve"> </w:t>
      </w:r>
      <w:r w:rsidRPr="00E35DAF">
        <w:rPr>
          <w:rFonts w:ascii="Times New Roman" w:eastAsia="Calibri" w:hAnsi="Times New Roman"/>
          <w:sz w:val="24"/>
          <w:szCs w:val="24"/>
          <w:lang w:val="el-GR" w:eastAsia="en-US"/>
        </w:rPr>
        <w:t xml:space="preserve">κωλύεται η υπογραφή του υποβληθέντος σχεδίου σύμβασης για την «παροχή υπηρεσιών καθαριότητας των κτιριακών εγκαταστάσεων Στρατοπέδου ΔΔΔ και των συνακόλουθων κτιρίων του Στρατοπέδου ΙΙΙ καθόσον, μεταξύ άλλων, </w:t>
      </w:r>
      <w:r w:rsidR="002D2754" w:rsidRPr="00E35DAF">
        <w:rPr>
          <w:rFonts w:ascii="Times New Roman" w:eastAsia="Calibri" w:hAnsi="Times New Roman"/>
          <w:sz w:val="24"/>
          <w:szCs w:val="24"/>
          <w:lang w:val="el-GR" w:eastAsia="en-US"/>
        </w:rPr>
        <w:t>μη νομίμως δεν ορίστηκε με το σχετικό περί δικαιολογητικών κατακύρωσης άρθρο 8 παρ. 1ιγ΄ της διακήρυξης ότι ο μειοδότης, εφόσον  επικαλέστηκε με την προσφορά του τις ικανότητες τρίτου οικονομικού φορέα, οφείλει να υποβάλει τα δικαιολογητικά κατακύρωσης που αναφέρονται στην Προσθήκη 1 του Παραρτήματος Α, τόσο για τον ίδιο όσο και για τον τρίτο, την ικανότητα του οποίου δανείζεται</w:t>
      </w:r>
    </w:p>
    <w:p w14:paraId="24FFE8FC" w14:textId="77777777" w:rsidR="00253EA0" w:rsidRPr="00E35DAF" w:rsidRDefault="008038A8" w:rsidP="00253EA0">
      <w:pPr>
        <w:pStyle w:val="a3"/>
        <w:numPr>
          <w:ilvl w:val="0"/>
          <w:numId w:val="4"/>
        </w:numPr>
        <w:jc w:val="both"/>
        <w:rPr>
          <w:rFonts w:ascii="Times New Roman" w:eastAsia="Calibri" w:hAnsi="Times New Roman"/>
          <w:sz w:val="24"/>
          <w:szCs w:val="24"/>
          <w:lang w:val="el-GR" w:eastAsia="en-US"/>
        </w:rPr>
      </w:pPr>
      <w:r w:rsidRPr="00E35DAF">
        <w:rPr>
          <w:rFonts w:ascii="Times New Roman" w:eastAsia="Calibri" w:hAnsi="Times New Roman"/>
          <w:sz w:val="24"/>
          <w:szCs w:val="24"/>
          <w:lang w:val="el-GR" w:eastAsia="en-US"/>
        </w:rPr>
        <w:t>Με</w:t>
      </w:r>
      <w:r w:rsidR="00253EA0" w:rsidRPr="00E35DAF">
        <w:rPr>
          <w:rFonts w:ascii="Times New Roman" w:eastAsia="Calibri" w:hAnsi="Times New Roman"/>
          <w:sz w:val="24"/>
          <w:szCs w:val="24"/>
          <w:lang w:val="el-GR" w:eastAsia="en-US"/>
        </w:rPr>
        <w:t xml:space="preserve"> την </w:t>
      </w:r>
      <w:hyperlink r:id="rId9" w:history="1">
        <w:bookmarkStart w:id="0" w:name="_Toc62420418"/>
        <w:r w:rsidR="00253EA0" w:rsidRPr="00E35DAF">
          <w:rPr>
            <w:rFonts w:ascii="Times New Roman" w:eastAsia="Calibri" w:hAnsi="Times New Roman"/>
            <w:sz w:val="24"/>
            <w:szCs w:val="24"/>
            <w:lang w:val="el-GR" w:eastAsia="en-US"/>
          </w:rPr>
          <w:t>Πράξη 166/2019 το Κλιμάκιο Ζ’</w:t>
        </w:r>
        <w:bookmarkEnd w:id="0"/>
      </w:hyperlink>
      <w:r w:rsidR="00253EA0" w:rsidRPr="00E35DAF">
        <w:rPr>
          <w:rFonts w:ascii="Times New Roman" w:eastAsia="Calibri" w:hAnsi="Times New Roman"/>
          <w:sz w:val="24"/>
          <w:szCs w:val="24"/>
          <w:lang w:val="el-GR" w:eastAsia="en-US"/>
        </w:rPr>
        <w:t xml:space="preserve"> </w:t>
      </w:r>
      <w:proofErr w:type="spellStart"/>
      <w:r w:rsidR="00253EA0" w:rsidRPr="00E35DAF">
        <w:rPr>
          <w:rFonts w:ascii="Times New Roman" w:eastAsia="Calibri" w:hAnsi="Times New Roman"/>
          <w:sz w:val="24"/>
          <w:szCs w:val="24"/>
          <w:lang w:val="el-GR" w:eastAsia="en-US"/>
        </w:rPr>
        <w:t>ΕλΣυν</w:t>
      </w:r>
      <w:proofErr w:type="spellEnd"/>
      <w:r w:rsidR="00253EA0" w:rsidRPr="00E35DAF">
        <w:rPr>
          <w:rFonts w:ascii="Times New Roman" w:eastAsia="Calibri" w:hAnsi="Times New Roman"/>
          <w:sz w:val="24"/>
          <w:szCs w:val="24"/>
          <w:lang w:val="el-GR" w:eastAsia="en-US"/>
        </w:rPr>
        <w:t xml:space="preserve"> έκρινε ότι κωλύεται η υπογραφή του υποβληθέντος σχεδίου σύμβασης καθόσον η ανάδοχος ένωση δεν δήλωσε στο υποβληθέν ΕΕΕΣ τη στήριξή της σε ικανότητα τρίτων, ούτε προσκόμισε τα σχετικά ΕΕΕΣ των τρίτων «δανειστών ικανότητας», με αποτέλεσμα αυτοί να μην έχουν ελεγχθεί από την αναθέτουσα αρχή (άρθρο 79 ν. 4412/2016 και όρο 2.2.9.2. διακήρυξης).</w:t>
      </w:r>
    </w:p>
    <w:p w14:paraId="1854E5E6" w14:textId="77777777" w:rsidR="00E35DAF" w:rsidRPr="00E35DAF" w:rsidRDefault="00E35DAF" w:rsidP="00E35DAF">
      <w:pPr>
        <w:spacing w:after="160" w:line="256" w:lineRule="auto"/>
        <w:jc w:val="both"/>
        <w:rPr>
          <w:rFonts w:ascii="Times New Roman" w:hAnsi="Times New Roman"/>
          <w:sz w:val="24"/>
          <w:szCs w:val="24"/>
          <w:lang w:val="el-GR" w:eastAsia="el-GR"/>
        </w:rPr>
      </w:pPr>
      <w:r w:rsidRPr="00E35DAF">
        <w:rPr>
          <w:rFonts w:ascii="Times New Roman" w:hAnsi="Times New Roman"/>
          <w:sz w:val="24"/>
          <w:szCs w:val="24"/>
          <w:lang w:val="el-GR"/>
        </w:rPr>
        <w:t>Με εκτίμηση</w:t>
      </w:r>
    </w:p>
    <w:p w14:paraId="0C04780F" w14:textId="77777777" w:rsidR="00E35DAF" w:rsidRPr="00E35DAF" w:rsidRDefault="00E35DAF" w:rsidP="00E35DAF">
      <w:pPr>
        <w:spacing w:after="160" w:line="256" w:lineRule="auto"/>
        <w:jc w:val="both"/>
        <w:rPr>
          <w:rFonts w:ascii="Times New Roman" w:hAnsi="Times New Roman"/>
          <w:sz w:val="24"/>
          <w:szCs w:val="24"/>
          <w:lang w:val="el-GR"/>
        </w:rPr>
      </w:pPr>
      <w:r w:rsidRPr="00E35DAF">
        <w:rPr>
          <w:rFonts w:ascii="Times New Roman" w:hAnsi="Times New Roman"/>
          <w:b/>
          <w:bCs/>
          <w:i/>
          <w:iCs/>
          <w:color w:val="7030A0"/>
          <w:sz w:val="24"/>
          <w:szCs w:val="24"/>
          <w:lang w:val="el-GR"/>
        </w:rPr>
        <w:lastRenderedPageBreak/>
        <w:t>ΖΗΣΗΣ ΠΑΠΑΣΤΑΜΑΤΗΣ</w:t>
      </w:r>
    </w:p>
    <w:p w14:paraId="227E8036" w14:textId="77777777" w:rsidR="00E35DAF" w:rsidRPr="00E35DAF" w:rsidRDefault="00E35DAF" w:rsidP="00E35DAF">
      <w:pPr>
        <w:spacing w:after="160" w:line="256" w:lineRule="auto"/>
        <w:jc w:val="both"/>
        <w:rPr>
          <w:rFonts w:ascii="Times New Roman" w:hAnsi="Times New Roman"/>
          <w:sz w:val="24"/>
          <w:szCs w:val="24"/>
          <w:lang w:val="el-GR"/>
        </w:rPr>
      </w:pPr>
      <w:hyperlink r:id="rId10" w:tgtFrame="_blank" w:history="1">
        <w:proofErr w:type="spellStart"/>
        <w:r w:rsidRPr="00E35DAF">
          <w:rPr>
            <w:rStyle w:val="-"/>
            <w:rFonts w:ascii="Times New Roman" w:hAnsi="Times New Roman"/>
            <w:b/>
            <w:bCs/>
            <w:i/>
            <w:iCs/>
            <w:color w:val="7030A0"/>
            <w:sz w:val="24"/>
            <w:szCs w:val="24"/>
          </w:rPr>
          <w:t>dimosies</w:t>
        </w:r>
        <w:proofErr w:type="spellEnd"/>
        <w:r w:rsidRPr="00E35DAF">
          <w:rPr>
            <w:rStyle w:val="-"/>
            <w:rFonts w:ascii="Times New Roman" w:hAnsi="Times New Roman"/>
            <w:b/>
            <w:bCs/>
            <w:i/>
            <w:iCs/>
            <w:color w:val="7030A0"/>
            <w:sz w:val="24"/>
            <w:szCs w:val="24"/>
            <w:lang w:val="el-GR"/>
          </w:rPr>
          <w:t>-</w:t>
        </w:r>
        <w:proofErr w:type="spellStart"/>
        <w:r w:rsidRPr="00E35DAF">
          <w:rPr>
            <w:rStyle w:val="-"/>
            <w:rFonts w:ascii="Times New Roman" w:hAnsi="Times New Roman"/>
            <w:b/>
            <w:bCs/>
            <w:i/>
            <w:iCs/>
            <w:color w:val="7030A0"/>
            <w:sz w:val="24"/>
            <w:szCs w:val="24"/>
          </w:rPr>
          <w:t>symvaseis</w:t>
        </w:r>
        <w:proofErr w:type="spellEnd"/>
        <w:r w:rsidRPr="00E35DAF">
          <w:rPr>
            <w:rStyle w:val="-"/>
            <w:rFonts w:ascii="Times New Roman" w:hAnsi="Times New Roman"/>
            <w:b/>
            <w:bCs/>
            <w:i/>
            <w:iCs/>
            <w:color w:val="7030A0"/>
            <w:sz w:val="24"/>
            <w:szCs w:val="24"/>
            <w:lang w:val="el-GR"/>
          </w:rPr>
          <w:t>.</w:t>
        </w:r>
        <w:r w:rsidRPr="00E35DAF">
          <w:rPr>
            <w:rStyle w:val="-"/>
            <w:rFonts w:ascii="Times New Roman" w:hAnsi="Times New Roman"/>
            <w:b/>
            <w:bCs/>
            <w:i/>
            <w:iCs/>
            <w:color w:val="7030A0"/>
            <w:sz w:val="24"/>
            <w:szCs w:val="24"/>
          </w:rPr>
          <w:t>gr</w:t>
        </w:r>
      </w:hyperlink>
    </w:p>
    <w:p w14:paraId="6A096A43" w14:textId="77777777" w:rsidR="00E35DAF" w:rsidRPr="00E35DAF" w:rsidRDefault="00E35DAF" w:rsidP="00E35DAF">
      <w:pPr>
        <w:spacing w:after="160" w:line="256" w:lineRule="auto"/>
        <w:jc w:val="both"/>
        <w:rPr>
          <w:rFonts w:ascii="Times New Roman" w:hAnsi="Times New Roman"/>
          <w:sz w:val="24"/>
          <w:szCs w:val="24"/>
          <w:lang w:val="el-GR"/>
        </w:rPr>
      </w:pPr>
      <w:r w:rsidRPr="00E35DAF">
        <w:rPr>
          <w:rFonts w:ascii="Times New Roman" w:hAnsi="Times New Roman"/>
          <w:color w:val="FF0000"/>
          <w:sz w:val="24"/>
          <w:szCs w:val="24"/>
        </w:rPr>
        <w:t>email</w:t>
      </w:r>
      <w:r w:rsidRPr="00E35DAF">
        <w:rPr>
          <w:rFonts w:ascii="Times New Roman" w:hAnsi="Times New Roman"/>
          <w:color w:val="FF0000"/>
          <w:sz w:val="24"/>
          <w:szCs w:val="24"/>
          <w:lang w:val="el-GR"/>
        </w:rPr>
        <w:t>:</w:t>
      </w:r>
      <w:r w:rsidRPr="00E35DAF">
        <w:rPr>
          <w:rFonts w:ascii="Times New Roman" w:hAnsi="Times New Roman"/>
          <w:color w:val="FF0000"/>
          <w:sz w:val="24"/>
          <w:szCs w:val="24"/>
        </w:rPr>
        <w:t> </w:t>
      </w:r>
      <w:hyperlink r:id="rId11" w:tgtFrame="_blank" w:history="1">
        <w:r w:rsidRPr="00E35DAF">
          <w:rPr>
            <w:rStyle w:val="-"/>
            <w:rFonts w:ascii="Times New Roman" w:hAnsi="Times New Roman"/>
            <w:b/>
            <w:bCs/>
            <w:i/>
            <w:iCs/>
            <w:sz w:val="24"/>
            <w:szCs w:val="24"/>
          </w:rPr>
          <w:t>zpapastamatis</w:t>
        </w:r>
        <w:r w:rsidRPr="00E35DAF">
          <w:rPr>
            <w:rStyle w:val="-"/>
            <w:rFonts w:ascii="Times New Roman" w:hAnsi="Times New Roman"/>
            <w:b/>
            <w:bCs/>
            <w:i/>
            <w:iCs/>
            <w:sz w:val="24"/>
            <w:szCs w:val="24"/>
            <w:lang w:val="el-GR"/>
          </w:rPr>
          <w:t>@</w:t>
        </w:r>
        <w:r w:rsidRPr="00E35DAF">
          <w:rPr>
            <w:rStyle w:val="-"/>
            <w:rFonts w:ascii="Times New Roman" w:hAnsi="Times New Roman"/>
            <w:b/>
            <w:bCs/>
            <w:i/>
            <w:iCs/>
            <w:sz w:val="24"/>
            <w:szCs w:val="24"/>
          </w:rPr>
          <w:t>gmail</w:t>
        </w:r>
        <w:r w:rsidRPr="00E35DAF">
          <w:rPr>
            <w:rStyle w:val="-"/>
            <w:rFonts w:ascii="Times New Roman" w:hAnsi="Times New Roman"/>
            <w:b/>
            <w:bCs/>
            <w:i/>
            <w:iCs/>
            <w:sz w:val="24"/>
            <w:szCs w:val="24"/>
            <w:lang w:val="el-GR"/>
          </w:rPr>
          <w:t>.</w:t>
        </w:r>
        <w:r w:rsidRPr="00E35DAF">
          <w:rPr>
            <w:rStyle w:val="-"/>
            <w:rFonts w:ascii="Times New Roman" w:hAnsi="Times New Roman"/>
            <w:b/>
            <w:bCs/>
            <w:i/>
            <w:iCs/>
            <w:sz w:val="24"/>
            <w:szCs w:val="24"/>
          </w:rPr>
          <w:t>com</w:t>
        </w:r>
      </w:hyperlink>
    </w:p>
    <w:p w14:paraId="0899DCB3" w14:textId="063E7398" w:rsidR="00253EA0" w:rsidRPr="00E35DAF" w:rsidRDefault="00E35DAF" w:rsidP="00E35DAF">
      <w:pPr>
        <w:jc w:val="both"/>
        <w:rPr>
          <w:rFonts w:ascii="Times New Roman" w:eastAsia="Calibri" w:hAnsi="Times New Roman"/>
          <w:sz w:val="24"/>
          <w:szCs w:val="24"/>
          <w:lang w:val="el-GR" w:eastAsia="en-US"/>
        </w:rPr>
      </w:pPr>
      <w:proofErr w:type="spellStart"/>
      <w:r w:rsidRPr="00E35DAF">
        <w:rPr>
          <w:rFonts w:ascii="Times New Roman" w:hAnsi="Times New Roman"/>
          <w:sz w:val="24"/>
          <w:szCs w:val="24"/>
          <w:lang w:val="el-GR"/>
        </w:rPr>
        <w:t>Τηλ</w:t>
      </w:r>
      <w:proofErr w:type="spellEnd"/>
      <w:r w:rsidRPr="00E35DAF">
        <w:rPr>
          <w:rFonts w:ascii="Times New Roman" w:hAnsi="Times New Roman"/>
          <w:sz w:val="24"/>
          <w:szCs w:val="24"/>
          <w:lang w:val="el-GR"/>
        </w:rPr>
        <w:t>. Επικοινωνίας :</w:t>
      </w:r>
      <w:r w:rsidRPr="00E35DAF">
        <w:rPr>
          <w:rFonts w:ascii="Times New Roman" w:hAnsi="Times New Roman"/>
          <w:i/>
          <w:iCs/>
          <w:sz w:val="24"/>
          <w:szCs w:val="24"/>
        </w:rPr>
        <w:t> </w:t>
      </w:r>
      <w:r w:rsidRPr="00E35DAF">
        <w:rPr>
          <w:rFonts w:ascii="Times New Roman" w:hAnsi="Times New Roman"/>
          <w:i/>
          <w:iCs/>
          <w:sz w:val="24"/>
          <w:szCs w:val="24"/>
          <w:lang w:val="el-GR"/>
        </w:rPr>
        <w:t>6945558980</w:t>
      </w:r>
    </w:p>
    <w:sectPr w:rsidR="00253EA0" w:rsidRPr="00E35DA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C5249E"/>
    <w:multiLevelType w:val="singleLevel"/>
    <w:tmpl w:val="9AC5249E"/>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C2104300"/>
    <w:multiLevelType w:val="singleLevel"/>
    <w:tmpl w:val="C2104300"/>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25212992"/>
    <w:multiLevelType w:val="hybridMultilevel"/>
    <w:tmpl w:val="05AACBE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06D2D5A"/>
    <w:multiLevelType w:val="hybridMultilevel"/>
    <w:tmpl w:val="0CA210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116C03"/>
    <w:rsid w:val="00172A27"/>
    <w:rsid w:val="00253EA0"/>
    <w:rsid w:val="002D2754"/>
    <w:rsid w:val="0033677B"/>
    <w:rsid w:val="003F6A77"/>
    <w:rsid w:val="007A5DCD"/>
    <w:rsid w:val="008038A8"/>
    <w:rsid w:val="0087263F"/>
    <w:rsid w:val="00E35DAF"/>
    <w:rsid w:val="00EA3EB2"/>
    <w:rsid w:val="00EE6723"/>
    <w:rsid w:val="00F352F9"/>
    <w:rsid w:val="00F54CE6"/>
    <w:rsid w:val="3040203B"/>
    <w:rsid w:val="3E4D4A0C"/>
    <w:rsid w:val="41C8189A"/>
    <w:rsid w:val="551827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8C349"/>
  <w15:docId w15:val="{67A65802-2667-466F-904B-49302761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hAnsi="Calibri"/>
      <w:lang w:val="en-US" w:eastAsia="zh-CN"/>
    </w:rPr>
  </w:style>
  <w:style w:type="paragraph" w:styleId="2">
    <w:name w:val="heading 2"/>
    <w:basedOn w:val="a"/>
    <w:next w:val="a"/>
    <w:uiPriority w:val="9"/>
    <w:qFormat/>
    <w:pPr>
      <w:keepNext/>
      <w:keepLines/>
      <w:spacing w:before="200" w:line="360" w:lineRule="auto"/>
      <w:ind w:left="432" w:hanging="432"/>
      <w:jc w:val="both"/>
      <w:outlineLvl w:val="1"/>
    </w:pPr>
    <w:rPr>
      <w:b/>
      <w:bCs/>
      <w:sz w:val="26"/>
      <w:szCs w:val="26"/>
      <w:lang w:eastAsia="en-US"/>
    </w:rPr>
  </w:style>
  <w:style w:type="paragraph" w:styleId="3">
    <w:name w:val="heading 3"/>
    <w:basedOn w:val="2"/>
    <w:next w:val="a"/>
    <w:uiPriority w:val="9"/>
    <w:qFormat/>
    <w:pPr>
      <w:spacing w:before="120" w:after="120"/>
      <w:outlineLvl w:val="2"/>
    </w:pPr>
    <w:rPr>
      <w:sz w:val="24"/>
      <w:szCs w:val="24"/>
    </w:rPr>
  </w:style>
  <w:style w:type="paragraph" w:styleId="4">
    <w:name w:val="heading 4"/>
    <w:basedOn w:val="a"/>
    <w:next w:val="a"/>
    <w:link w:val="4Char"/>
    <w:unhideWhenUsed/>
    <w:qFormat/>
    <w:rsid w:val="00253EA0"/>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Web">
    <w:name w:val="Normal (Web)"/>
    <w:basedOn w:val="a"/>
    <w:uiPriority w:val="99"/>
    <w:unhideWhenUsed/>
    <w:qFormat/>
    <w:pPr>
      <w:spacing w:before="100" w:beforeAutospacing="1" w:after="100" w:afterAutospacing="1"/>
    </w:pPr>
    <w:rPr>
      <w:sz w:val="24"/>
      <w:szCs w:val="24"/>
    </w:rPr>
  </w:style>
  <w:style w:type="paragraph" w:styleId="-HTML">
    <w:name w:val="HTML Preformatted"/>
    <w:basedOn w:val="a"/>
    <w:link w:val="-HTMLChar"/>
    <w:uiPriority w:val="99"/>
    <w:unhideWhenUsed/>
    <w:rsid w:val="00F54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l-GR" w:eastAsia="el-GR"/>
    </w:rPr>
  </w:style>
  <w:style w:type="character" w:customStyle="1" w:styleId="-HTMLChar">
    <w:name w:val="Προ-διαμορφωμένο HTML Char"/>
    <w:basedOn w:val="a0"/>
    <w:link w:val="-HTML"/>
    <w:uiPriority w:val="99"/>
    <w:rsid w:val="00F54CE6"/>
    <w:rPr>
      <w:rFonts w:ascii="Courier New" w:eastAsia="Times New Roman" w:hAnsi="Courier New" w:cs="Courier New"/>
    </w:rPr>
  </w:style>
  <w:style w:type="character" w:customStyle="1" w:styleId="info">
    <w:name w:val="info"/>
    <w:basedOn w:val="a0"/>
    <w:rsid w:val="00F54CE6"/>
  </w:style>
  <w:style w:type="character" w:customStyle="1" w:styleId="4Char">
    <w:name w:val="Επικεφαλίδα 4 Char"/>
    <w:basedOn w:val="a0"/>
    <w:link w:val="4"/>
    <w:rsid w:val="00253EA0"/>
    <w:rPr>
      <w:rFonts w:asciiTheme="minorHAnsi" w:eastAsiaTheme="minorEastAsia" w:hAnsiTheme="minorHAnsi" w:cstheme="minorBidi"/>
      <w:b/>
      <w:bCs/>
      <w:sz w:val="28"/>
      <w:szCs w:val="28"/>
      <w:lang w:val="en-US" w:eastAsia="zh-CN"/>
    </w:rPr>
  </w:style>
  <w:style w:type="paragraph" w:styleId="a3">
    <w:name w:val="List Paragraph"/>
    <w:basedOn w:val="a"/>
    <w:uiPriority w:val="99"/>
    <w:qFormat/>
    <w:rsid w:val="00803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35913">
      <w:bodyDiv w:val="1"/>
      <w:marLeft w:val="0"/>
      <w:marRight w:val="0"/>
      <w:marTop w:val="0"/>
      <w:marBottom w:val="0"/>
      <w:divBdr>
        <w:top w:val="none" w:sz="0" w:space="0" w:color="auto"/>
        <w:left w:val="none" w:sz="0" w:space="0" w:color="auto"/>
        <w:bottom w:val="none" w:sz="0" w:space="0" w:color="auto"/>
        <w:right w:val="none" w:sz="0" w:space="0" w:color="auto"/>
      </w:divBdr>
    </w:div>
    <w:div w:id="1020400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_category/pra3h_341__2018_klimakio_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mosnet.gr/blog/laws/%cf%80%cf%81%ce%ac%ce%be%ce%b7-1532018-%ce%ba%ce%bb%ce%b9%ce%bc%ce%ac%ce%ba%ce%b9%ce%bf-%ce%b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mosnet.gr/blog/law_category/apofash_1068__2018_tmhma_6/" TargetMode="External"/><Relationship Id="rId11" Type="http://schemas.openxmlformats.org/officeDocument/2006/relationships/hyperlink" Target="mailto:zpapastamatis@gmail.com" TargetMode="External"/><Relationship Id="rId5" Type="http://schemas.openxmlformats.org/officeDocument/2006/relationships/hyperlink" Target="https://4412.gr/blog/laws/353491/" TargetMode="External"/><Relationship Id="rId10" Type="http://schemas.openxmlformats.org/officeDocument/2006/relationships/hyperlink" Target="http://dimosies-symvaseis.gr/" TargetMode="External"/><Relationship Id="rId4" Type="http://schemas.openxmlformats.org/officeDocument/2006/relationships/webSettings" Target="webSettings.xml"/><Relationship Id="rId9" Type="http://schemas.openxmlformats.org/officeDocument/2006/relationships/hyperlink" Target="https://dimosnet.gr/blog/law_category/pra3h_166__2019_klimakio_z/"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1061</Words>
  <Characters>5731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z.papastamatis</dc:creator>
  <cp:lastModifiedBy>Ζήσης Παπασταμάτης</cp:lastModifiedBy>
  <cp:revision>4</cp:revision>
  <dcterms:created xsi:type="dcterms:W3CDTF">2021-02-04T17:59:00Z</dcterms:created>
  <dcterms:modified xsi:type="dcterms:W3CDTF">2025-03-21T08:42:00Z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