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D219D" w14:textId="65A8D78D" w:rsidR="00794EC7" w:rsidRPr="00794EC7" w:rsidRDefault="00005466" w:rsidP="00794E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ΘΕΜΑ</w:t>
      </w:r>
      <w:r w:rsidRPr="0000546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424C9">
        <w:rPr>
          <w:rFonts w:ascii="Times New Roman" w:hAnsi="Times New Roman" w:cs="Times New Roman"/>
          <w:b/>
          <w:sz w:val="24"/>
          <w:szCs w:val="24"/>
        </w:rPr>
        <w:t xml:space="preserve">ΕΛΕΓΧΟΣ </w:t>
      </w:r>
      <w:r w:rsidR="00794EC7" w:rsidRPr="00794EC7">
        <w:rPr>
          <w:rFonts w:ascii="Times New Roman" w:hAnsi="Times New Roman" w:cs="Times New Roman"/>
          <w:b/>
          <w:sz w:val="24"/>
          <w:szCs w:val="24"/>
        </w:rPr>
        <w:t>ΕΦΑΡΜΟΣΙΜΟΤΗΤΑ</w:t>
      </w:r>
      <w:r w:rsidR="003424C9">
        <w:rPr>
          <w:rFonts w:ascii="Times New Roman" w:hAnsi="Times New Roman" w:cs="Times New Roman"/>
          <w:b/>
          <w:sz w:val="24"/>
          <w:szCs w:val="24"/>
        </w:rPr>
        <w:t>Σ</w:t>
      </w:r>
      <w:r w:rsidR="00794EC7" w:rsidRPr="00794EC7">
        <w:rPr>
          <w:rFonts w:ascii="Times New Roman" w:hAnsi="Times New Roman" w:cs="Times New Roman"/>
          <w:b/>
          <w:sz w:val="24"/>
          <w:szCs w:val="24"/>
        </w:rPr>
        <w:t xml:space="preserve"> ΤΗΣ ΜΕΛΕΤΗΣ</w:t>
      </w:r>
    </w:p>
    <w:p w14:paraId="38D2E999" w14:textId="5390EE4A" w:rsidR="00005466" w:rsidRPr="00907DB3" w:rsidRDefault="00005466" w:rsidP="00005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Ημερομηνία υποβολής </w:t>
      </w:r>
      <w:r w:rsidRPr="00907DB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</w:t>
      </w:r>
      <w:r w:rsidRPr="00907DB3">
        <w:rPr>
          <w:rFonts w:ascii="Times New Roman" w:eastAsia="Times New Roman" w:hAnsi="Times New Roman" w:cs="Times New Roman"/>
          <w:b/>
          <w:i/>
          <w:color w:val="385623" w:themeColor="accent6" w:themeShade="80"/>
          <w:sz w:val="24"/>
          <w:szCs w:val="24"/>
          <w:lang w:eastAsia="el-GR"/>
        </w:rPr>
        <w:t>1</w:t>
      </w:r>
      <w:r>
        <w:rPr>
          <w:rFonts w:ascii="Times New Roman" w:eastAsia="Times New Roman" w:hAnsi="Times New Roman" w:cs="Times New Roman"/>
          <w:b/>
          <w:i/>
          <w:color w:val="385623" w:themeColor="accent6" w:themeShade="80"/>
          <w:sz w:val="24"/>
          <w:szCs w:val="24"/>
          <w:lang w:eastAsia="el-GR"/>
        </w:rPr>
        <w:t>2</w:t>
      </w:r>
      <w:r w:rsidRPr="00907DB3">
        <w:rPr>
          <w:rFonts w:ascii="Times New Roman" w:eastAsia="Times New Roman" w:hAnsi="Times New Roman" w:cs="Times New Roman"/>
          <w:b/>
          <w:i/>
          <w:color w:val="385623" w:themeColor="accent6" w:themeShade="80"/>
          <w:sz w:val="24"/>
          <w:szCs w:val="24"/>
          <w:lang w:eastAsia="el-GR"/>
        </w:rPr>
        <w:t>/</w:t>
      </w:r>
      <w:r>
        <w:rPr>
          <w:rFonts w:ascii="Times New Roman" w:eastAsia="Times New Roman" w:hAnsi="Times New Roman" w:cs="Times New Roman"/>
          <w:b/>
          <w:i/>
          <w:color w:val="385623" w:themeColor="accent6" w:themeShade="80"/>
          <w:sz w:val="24"/>
          <w:szCs w:val="24"/>
          <w:lang w:eastAsia="el-GR"/>
        </w:rPr>
        <w:t>11</w:t>
      </w:r>
      <w:bookmarkStart w:id="0" w:name="_GoBack"/>
      <w:bookmarkEnd w:id="0"/>
      <w:r w:rsidRPr="00907DB3">
        <w:rPr>
          <w:rFonts w:ascii="Times New Roman" w:eastAsia="Times New Roman" w:hAnsi="Times New Roman" w:cs="Times New Roman"/>
          <w:b/>
          <w:i/>
          <w:color w:val="385623" w:themeColor="accent6" w:themeShade="80"/>
          <w:sz w:val="24"/>
          <w:szCs w:val="24"/>
          <w:lang w:eastAsia="el-GR"/>
        </w:rPr>
        <w:t>/2024</w:t>
      </w:r>
    </w:p>
    <w:p w14:paraId="709F6CC8" w14:textId="77777777" w:rsidR="00794EC7" w:rsidRPr="00794EC7" w:rsidRDefault="00794EC7" w:rsidP="00794E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1D3250" w14:textId="77777777" w:rsidR="00794EC7" w:rsidRPr="00794EC7" w:rsidRDefault="00794EC7" w:rsidP="00794E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EC7">
        <w:rPr>
          <w:rFonts w:ascii="Times New Roman" w:hAnsi="Times New Roman" w:cs="Times New Roman"/>
          <w:b/>
          <w:sz w:val="24"/>
          <w:szCs w:val="24"/>
        </w:rPr>
        <w:t xml:space="preserve">Ερώτηση : </w:t>
      </w:r>
    </w:p>
    <w:p w14:paraId="05E3665C" w14:textId="3A61470A" w:rsidR="008C2B25" w:rsidRDefault="008C2B25" w:rsidP="00794EC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2329602"/>
      <w:r>
        <w:rPr>
          <w:rFonts w:ascii="Times New Roman" w:hAnsi="Times New Roman" w:cs="Times New Roman"/>
          <w:sz w:val="24"/>
          <w:szCs w:val="24"/>
        </w:rPr>
        <w:t>Τί γίνεται στην περίπτωση που β</w:t>
      </w:r>
      <w:r w:rsidRPr="008C2B25">
        <w:rPr>
          <w:rFonts w:ascii="Times New Roman" w:hAnsi="Times New Roman" w:cs="Times New Roman"/>
          <w:sz w:val="24"/>
          <w:szCs w:val="24"/>
        </w:rPr>
        <w:t>άσ</w:t>
      </w:r>
      <w:r>
        <w:rPr>
          <w:rFonts w:ascii="Times New Roman" w:hAnsi="Times New Roman" w:cs="Times New Roman"/>
          <w:sz w:val="24"/>
          <w:szCs w:val="24"/>
        </w:rPr>
        <w:t>ει</w:t>
      </w:r>
      <w:r w:rsidRPr="008C2B25">
        <w:rPr>
          <w:rFonts w:ascii="Times New Roman" w:hAnsi="Times New Roman" w:cs="Times New Roman"/>
          <w:sz w:val="24"/>
          <w:szCs w:val="24"/>
        </w:rPr>
        <w:t xml:space="preserve"> της παρ.2 Άρθρου 138 του  Ν4412/16 </w:t>
      </w:r>
      <w:r>
        <w:rPr>
          <w:rFonts w:ascii="Times New Roman" w:hAnsi="Times New Roman" w:cs="Times New Roman"/>
          <w:sz w:val="24"/>
          <w:szCs w:val="24"/>
        </w:rPr>
        <w:t xml:space="preserve">σε </w:t>
      </w:r>
      <w:r w:rsidRPr="008C2B25">
        <w:rPr>
          <w:rFonts w:ascii="Times New Roman" w:hAnsi="Times New Roman" w:cs="Times New Roman"/>
          <w:sz w:val="24"/>
          <w:szCs w:val="24"/>
        </w:rPr>
        <w:t xml:space="preserve">Έργο </w:t>
      </w:r>
      <w:r>
        <w:rPr>
          <w:rFonts w:ascii="Times New Roman" w:hAnsi="Times New Roman" w:cs="Times New Roman"/>
          <w:sz w:val="24"/>
          <w:szCs w:val="24"/>
        </w:rPr>
        <w:t xml:space="preserve">που </w:t>
      </w:r>
      <w:r w:rsidRPr="008C2B25">
        <w:rPr>
          <w:rFonts w:ascii="Times New Roman" w:hAnsi="Times New Roman" w:cs="Times New Roman"/>
          <w:sz w:val="24"/>
          <w:szCs w:val="24"/>
        </w:rPr>
        <w:t xml:space="preserve">ξεπερνά το όριο της </w:t>
      </w:r>
      <w:proofErr w:type="spellStart"/>
      <w:r w:rsidRPr="008C2B25">
        <w:rPr>
          <w:rFonts w:ascii="Times New Roman" w:hAnsi="Times New Roman" w:cs="Times New Roman"/>
          <w:sz w:val="24"/>
          <w:szCs w:val="24"/>
        </w:rPr>
        <w:t>περ..Α</w:t>
      </w:r>
      <w:proofErr w:type="spellEnd"/>
      <w:r w:rsidRPr="008C2B25">
        <w:rPr>
          <w:rFonts w:ascii="Times New Roman" w:hAnsi="Times New Roman" w:cs="Times New Roman"/>
          <w:sz w:val="24"/>
          <w:szCs w:val="24"/>
        </w:rPr>
        <w:t xml:space="preserve"> του Άρθρου 5</w:t>
      </w:r>
      <w:r w:rsidR="006F79A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όπου </w:t>
      </w:r>
      <w:r w:rsidRPr="008C2B25">
        <w:rPr>
          <w:rFonts w:ascii="Times New Roman" w:hAnsi="Times New Roman" w:cs="Times New Roman"/>
          <w:sz w:val="24"/>
          <w:szCs w:val="24"/>
        </w:rPr>
        <w:t xml:space="preserve">η Υπηρεσία μας δεν απέστειλε έγγραφο προς τον Ανάδοχο </w:t>
      </w:r>
      <w:r w:rsidR="006F79A9">
        <w:rPr>
          <w:rFonts w:ascii="Times New Roman" w:hAnsi="Times New Roman" w:cs="Times New Roman"/>
          <w:sz w:val="24"/>
          <w:szCs w:val="24"/>
        </w:rPr>
        <w:t xml:space="preserve">και </w:t>
      </w:r>
      <w:r w:rsidRPr="008C2B25">
        <w:rPr>
          <w:rFonts w:ascii="Times New Roman" w:hAnsi="Times New Roman" w:cs="Times New Roman"/>
          <w:sz w:val="24"/>
          <w:szCs w:val="24"/>
        </w:rPr>
        <w:t>πριν την εγκατάσταση έπρεπε να ενημερώσει γραπτώς την ΔΥ</w:t>
      </w:r>
      <w:r w:rsidR="006F79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F79A9">
        <w:rPr>
          <w:rFonts w:ascii="Times New Roman" w:hAnsi="Times New Roman" w:cs="Times New Roman"/>
          <w:sz w:val="24"/>
          <w:szCs w:val="24"/>
        </w:rPr>
        <w:t>Σημειωτέον</w:t>
      </w:r>
      <w:proofErr w:type="spellEnd"/>
      <w:r w:rsidR="006F79A9">
        <w:rPr>
          <w:rFonts w:ascii="Times New Roman" w:hAnsi="Times New Roman" w:cs="Times New Roman"/>
          <w:sz w:val="24"/>
          <w:szCs w:val="24"/>
        </w:rPr>
        <w:t xml:space="preserve"> ότι </w:t>
      </w:r>
      <w:r>
        <w:rPr>
          <w:rFonts w:ascii="Times New Roman" w:hAnsi="Times New Roman" w:cs="Times New Roman"/>
          <w:sz w:val="24"/>
          <w:szCs w:val="24"/>
        </w:rPr>
        <w:t xml:space="preserve">έχει παρέλθει η ημερομηνία στην οποία αυτός έπρεπε να στείλει τις παρατηρήσεις του σχετικά με την  </w:t>
      </w:r>
      <w:proofErr w:type="spellStart"/>
      <w:r w:rsidRPr="008C2B25">
        <w:rPr>
          <w:rFonts w:ascii="Times New Roman" w:hAnsi="Times New Roman" w:cs="Times New Roman"/>
          <w:sz w:val="24"/>
          <w:szCs w:val="24"/>
        </w:rPr>
        <w:t>εφαρμοσιμότητα</w:t>
      </w:r>
      <w:proofErr w:type="spellEnd"/>
      <w:r w:rsidRPr="008C2B25">
        <w:rPr>
          <w:rFonts w:ascii="Times New Roman" w:hAnsi="Times New Roman" w:cs="Times New Roman"/>
          <w:sz w:val="24"/>
          <w:szCs w:val="24"/>
        </w:rPr>
        <w:t xml:space="preserve"> της μελέτη</w:t>
      </w:r>
      <w:r>
        <w:rPr>
          <w:rFonts w:ascii="Times New Roman" w:hAnsi="Times New Roman" w:cs="Times New Roman"/>
          <w:sz w:val="24"/>
          <w:szCs w:val="24"/>
        </w:rPr>
        <w:t>ς ενώ δ</w:t>
      </w:r>
      <w:r w:rsidRPr="008C2B25">
        <w:rPr>
          <w:rFonts w:ascii="Times New Roman" w:hAnsi="Times New Roman" w:cs="Times New Roman"/>
          <w:sz w:val="24"/>
          <w:szCs w:val="24"/>
        </w:rPr>
        <w:t xml:space="preserve">εν υπάρχει </w:t>
      </w:r>
      <w:r w:rsidR="001D00C2" w:rsidRPr="008C2B25">
        <w:rPr>
          <w:rFonts w:ascii="Times New Roman" w:hAnsi="Times New Roman" w:cs="Times New Roman"/>
          <w:sz w:val="24"/>
          <w:szCs w:val="24"/>
        </w:rPr>
        <w:t>καμία</w:t>
      </w:r>
      <w:r w:rsidRPr="008C2B25">
        <w:rPr>
          <w:rFonts w:ascii="Times New Roman" w:hAnsi="Times New Roman" w:cs="Times New Roman"/>
          <w:sz w:val="24"/>
          <w:szCs w:val="24"/>
        </w:rPr>
        <w:t xml:space="preserve"> όχληση αυτού προς την ΔΥ</w:t>
      </w:r>
      <w:r>
        <w:rPr>
          <w:rFonts w:ascii="Times New Roman" w:hAnsi="Times New Roman" w:cs="Times New Roman"/>
          <w:sz w:val="24"/>
          <w:szCs w:val="24"/>
        </w:rPr>
        <w:t xml:space="preserve"> περί αυτού</w:t>
      </w:r>
      <w:r w:rsidR="001D00C2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22E0B00B" w14:textId="77777777" w:rsidR="00794EC7" w:rsidRPr="00794EC7" w:rsidRDefault="00794EC7" w:rsidP="00794E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CE492D" w14:textId="77777777" w:rsidR="00794EC7" w:rsidRPr="00794EC7" w:rsidRDefault="00794EC7" w:rsidP="00794EC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82328562"/>
      <w:r w:rsidRPr="00794EC7">
        <w:rPr>
          <w:rFonts w:ascii="Times New Roman" w:hAnsi="Times New Roman" w:cs="Times New Roman"/>
          <w:b/>
          <w:sz w:val="24"/>
          <w:szCs w:val="24"/>
        </w:rPr>
        <w:t xml:space="preserve">Απάντηση : </w:t>
      </w:r>
    </w:p>
    <w:p w14:paraId="13AA486C" w14:textId="7EDC26E8" w:rsidR="00764CEC" w:rsidRPr="00764CEC" w:rsidRDefault="00764CEC" w:rsidP="00764CEC">
      <w:pPr>
        <w:jc w:val="both"/>
        <w:rPr>
          <w:rFonts w:ascii="Times New Roman" w:hAnsi="Times New Roman" w:cs="Times New Roman"/>
          <w:sz w:val="24"/>
          <w:szCs w:val="24"/>
        </w:rPr>
      </w:pPr>
      <w:r w:rsidRPr="00764CEC">
        <w:rPr>
          <w:rFonts w:ascii="Times New Roman" w:hAnsi="Times New Roman" w:cs="Times New Roman"/>
          <w:sz w:val="24"/>
          <w:szCs w:val="24"/>
        </w:rPr>
        <w:t xml:space="preserve">Η έως την 1η /09/2021 υποχρέωση του αναδόχου να κατασκευάζει το έργο σύμφωνα με τις υποχρεώσεις του , (όπως καταγράφονται στα συμβατικά τεύχη και στη μελέτη του έργου, με τα σχέδια και τις διαστάσεις του) πλέον (εισάγοντας μία εκ των μεγαλύτερων καινοτομιών του Ν. 4782/2021) καταργείται βάσει του τροποποιημένου (με το </w:t>
      </w:r>
      <w:proofErr w:type="spellStart"/>
      <w:r w:rsidRPr="00764CEC">
        <w:rPr>
          <w:rFonts w:ascii="Times New Roman" w:hAnsi="Times New Roman" w:cs="Times New Roman"/>
          <w:sz w:val="24"/>
          <w:szCs w:val="24"/>
        </w:rPr>
        <w:t>Άρ</w:t>
      </w:r>
      <w:proofErr w:type="spellEnd"/>
      <w:r w:rsidRPr="00764CEC">
        <w:rPr>
          <w:rFonts w:ascii="Times New Roman" w:hAnsi="Times New Roman" w:cs="Times New Roman"/>
          <w:sz w:val="24"/>
          <w:szCs w:val="24"/>
        </w:rPr>
        <w:t xml:space="preserve">. 59 του Ν. 4782/2021) </w:t>
      </w:r>
      <w:proofErr w:type="spellStart"/>
      <w:r w:rsidRPr="00764CEC">
        <w:rPr>
          <w:rFonts w:ascii="Times New Roman" w:hAnsi="Times New Roman" w:cs="Times New Roman"/>
          <w:sz w:val="24"/>
          <w:szCs w:val="24"/>
        </w:rPr>
        <w:t>Άρ</w:t>
      </w:r>
      <w:proofErr w:type="spellEnd"/>
      <w:r w:rsidRPr="00764CEC">
        <w:rPr>
          <w:rFonts w:ascii="Times New Roman" w:hAnsi="Times New Roman" w:cs="Times New Roman"/>
          <w:sz w:val="24"/>
          <w:szCs w:val="24"/>
        </w:rPr>
        <w:t xml:space="preserve">. 138, το οποίο αναφέρεται στην υποχρέωση πλέον του Αναδόχου κατασκευής πριν την εγκατάστασή του στο εργοτάξιο για έλεγχο </w:t>
      </w:r>
      <w:proofErr w:type="spellStart"/>
      <w:r w:rsidRPr="00764CEC">
        <w:rPr>
          <w:rFonts w:ascii="Times New Roman" w:hAnsi="Times New Roman" w:cs="Times New Roman"/>
          <w:sz w:val="24"/>
          <w:szCs w:val="24"/>
        </w:rPr>
        <w:t>εφαρμοσιμότητας</w:t>
      </w:r>
      <w:proofErr w:type="spellEnd"/>
      <w:r w:rsidRPr="00764CEC">
        <w:rPr>
          <w:rFonts w:ascii="Times New Roman" w:hAnsi="Times New Roman" w:cs="Times New Roman"/>
          <w:sz w:val="24"/>
          <w:szCs w:val="24"/>
        </w:rPr>
        <w:t xml:space="preserve"> της μελέτης δημοπράτησης έργου, εφόσον ο προϋπολογισμός του Έργου είναι μεγαλύτερος του ορίου της περ. α’ του άρθρου 5 (δηλ. των ορίων εφαρμογής της Κ.Ο. 24/2014, ήτοι 5.225.000 ευρώ) για τις δημόσιες συμβάσεις έργων.</w:t>
      </w:r>
    </w:p>
    <w:p w14:paraId="24D9F926" w14:textId="13D87E8C" w:rsidR="003F4140" w:rsidRDefault="00764CEC" w:rsidP="00764CEC">
      <w:pPr>
        <w:jc w:val="both"/>
        <w:rPr>
          <w:rFonts w:ascii="Times New Roman" w:hAnsi="Times New Roman" w:cs="Times New Roman"/>
          <w:sz w:val="24"/>
          <w:szCs w:val="24"/>
        </w:rPr>
      </w:pPr>
      <w:r w:rsidRPr="00764CEC">
        <w:rPr>
          <w:rFonts w:ascii="Times New Roman" w:hAnsi="Times New Roman" w:cs="Times New Roman"/>
          <w:sz w:val="24"/>
          <w:szCs w:val="24"/>
        </w:rPr>
        <w:t>Συνεπώς, με την εφαρμογή των εν λόγω διατάξεων παύει η ισχύς της έως τώρα Νομολογίας (</w:t>
      </w:r>
      <w:proofErr w:type="spellStart"/>
      <w:r w:rsidRPr="00764CEC">
        <w:rPr>
          <w:rFonts w:ascii="Times New Roman" w:hAnsi="Times New Roman" w:cs="Times New Roman"/>
          <w:sz w:val="24"/>
          <w:szCs w:val="24"/>
        </w:rPr>
        <w:t>ΣτΕ</w:t>
      </w:r>
      <w:proofErr w:type="spellEnd"/>
      <w:r w:rsidRPr="00764CEC">
        <w:rPr>
          <w:rFonts w:ascii="Times New Roman" w:hAnsi="Times New Roman" w:cs="Times New Roman"/>
          <w:sz w:val="24"/>
          <w:szCs w:val="24"/>
        </w:rPr>
        <w:t xml:space="preserve"> 2243/2017, 2243/2017, 5117/2012,  2227/2009 κλπ.)</w:t>
      </w:r>
      <w:r w:rsidR="003C7442">
        <w:rPr>
          <w:rFonts w:ascii="Times New Roman" w:hAnsi="Times New Roman" w:cs="Times New Roman"/>
          <w:sz w:val="24"/>
          <w:szCs w:val="24"/>
        </w:rPr>
        <w:t xml:space="preserve"> </w:t>
      </w:r>
      <w:r w:rsidR="00794EC7" w:rsidRPr="00794EC7">
        <w:rPr>
          <w:rFonts w:ascii="Times New Roman" w:hAnsi="Times New Roman" w:cs="Times New Roman"/>
          <w:sz w:val="24"/>
          <w:szCs w:val="24"/>
        </w:rPr>
        <w:t>Σύμφωνα με την παρ. 2 Άρθρου 138</w:t>
      </w:r>
      <w:r w:rsidR="003C7442">
        <w:rPr>
          <w:rFonts w:ascii="Times New Roman" w:hAnsi="Times New Roman" w:cs="Times New Roman"/>
          <w:sz w:val="24"/>
          <w:szCs w:val="24"/>
        </w:rPr>
        <w:t xml:space="preserve"> Ν. 4412/2016</w:t>
      </w:r>
      <w:r w:rsidR="00794EC7" w:rsidRPr="00794EC7">
        <w:rPr>
          <w:rFonts w:ascii="Times New Roman" w:hAnsi="Times New Roman" w:cs="Times New Roman"/>
          <w:sz w:val="24"/>
          <w:szCs w:val="24"/>
        </w:rPr>
        <w:t xml:space="preserve"> «Γενικές υποχρεώσεις αναδόχου», </w:t>
      </w:r>
      <w:r w:rsidR="00794EC7" w:rsidRPr="00794EC7">
        <w:rPr>
          <w:rFonts w:ascii="Times New Roman" w:hAnsi="Times New Roman" w:cs="Times New Roman"/>
          <w:b/>
          <w:sz w:val="24"/>
          <w:szCs w:val="24"/>
        </w:rPr>
        <w:t xml:space="preserve">ο ανάδοχος έχει την υποχρέωση να ελέγξει την μελέτη δημοπράτησης έργου προϋπολογισμού μεγαλύτερου του ορίου της περ. α` του άρθρου 5 πριν την εγκατάστασή του στο εργοτάξιο και να ενημερώσει γραπτώς τη διευθύνουσα υπηρεσία. Η διευθύνουσα υπηρεσία προσκαλεί τον ανάδοχο να υποβάλλει εγγράφως, </w:t>
      </w:r>
      <w:r w:rsidR="00794EC7" w:rsidRPr="00794EC7">
        <w:rPr>
          <w:rFonts w:ascii="Times New Roman" w:hAnsi="Times New Roman" w:cs="Times New Roman"/>
          <w:sz w:val="24"/>
          <w:szCs w:val="24"/>
        </w:rPr>
        <w:t xml:space="preserve">εντός προθεσμίας που δεν μπορεί να είναι μικρότερη των είκοσι (20) ημερών και μεγαλύτερη των εξήντα (60) ημερών από την υπογραφή της σύμβασης, αν έχει παρατηρήσεις ως προς την </w:t>
      </w:r>
      <w:proofErr w:type="spellStart"/>
      <w:r w:rsidR="00794EC7" w:rsidRPr="00794EC7">
        <w:rPr>
          <w:rFonts w:ascii="Times New Roman" w:hAnsi="Times New Roman" w:cs="Times New Roman"/>
          <w:sz w:val="24"/>
          <w:szCs w:val="24"/>
        </w:rPr>
        <w:t>εφαρμοσιμότητα</w:t>
      </w:r>
      <w:proofErr w:type="spellEnd"/>
      <w:r w:rsidR="00794EC7" w:rsidRPr="00794EC7">
        <w:rPr>
          <w:rFonts w:ascii="Times New Roman" w:hAnsi="Times New Roman" w:cs="Times New Roman"/>
          <w:sz w:val="24"/>
          <w:szCs w:val="24"/>
        </w:rPr>
        <w:t xml:space="preserve"> της μελέτης.</w:t>
      </w:r>
    </w:p>
    <w:p w14:paraId="613160B5" w14:textId="26A3EF1D" w:rsidR="00764CEC" w:rsidRDefault="00764CEC" w:rsidP="00764CE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64CEC">
        <w:rPr>
          <w:rFonts w:ascii="Times New Roman" w:hAnsi="Times New Roman" w:cs="Times New Roman"/>
          <w:sz w:val="24"/>
          <w:szCs w:val="24"/>
        </w:rPr>
        <w:t xml:space="preserve">Η </w:t>
      </w:r>
      <w:proofErr w:type="spellStart"/>
      <w:r w:rsidRPr="00764CEC">
        <w:rPr>
          <w:rFonts w:ascii="Times New Roman" w:hAnsi="Times New Roman" w:cs="Times New Roman"/>
          <w:sz w:val="24"/>
          <w:szCs w:val="24"/>
        </w:rPr>
        <w:t>εφαρμοσιμότητα</w:t>
      </w:r>
      <w:proofErr w:type="spellEnd"/>
      <w:r w:rsidRPr="00764CEC">
        <w:rPr>
          <w:rFonts w:ascii="Times New Roman" w:hAnsi="Times New Roman" w:cs="Times New Roman"/>
          <w:sz w:val="24"/>
          <w:szCs w:val="24"/>
        </w:rPr>
        <w:t xml:space="preserve"> ή μη της μελέτης ενός έργου σε κάθε περίπτωση, σύμφωνα με την Α-45 Γνώμη της ΕΑΑΔΗΣΥ </w:t>
      </w:r>
      <w:r w:rsidRPr="00764CEC">
        <w:rPr>
          <w:rFonts w:ascii="Times New Roman" w:hAnsi="Times New Roman" w:cs="Times New Roman"/>
          <w:i/>
          <w:iCs/>
          <w:sz w:val="24"/>
          <w:szCs w:val="24"/>
        </w:rPr>
        <w:t xml:space="preserve">«είναι στοιχείο το οποίο θα  πρέπει να κρίνεται αντικειμενικά και όχι υποκειμενικά από τον οικονομικό φορέα που καλείται κάθε φορά να την εφαρμόσει και σίγουρα η σχετική κρίση πρέπει να έχει οριστικοποιηθεί πριν την εκκίνηση των διαδικασιών ανάδειξης αναδόχου κατασκευής έργου. Άλλωστε σύμφωνα με την προτεινόμενη προσθήκη της παρ. 4 στο άρθρο 70 του νόμου προβλέπεται ότι η  αναθέτουσα αρχή υποχρεούται, σε έργα με εκτιμώμενη αξία σύμβασης μεγαλύτερη του ενός εκατομμυρίου (1.000.000) ευρώ, να αναρτά στην ιστοσελίδα της δεκαπέντε (15) τουλάχιστον ημέρες (ΣΣ : Αρχικά προβλεπόταν διάστημα δεκαπέντε (15) ημερών) πριν από τη διενέργεια του διαγωνισμού, τη μελέτη κατασκευής του έργου, επομένως </w:t>
      </w:r>
      <w:r w:rsidRPr="00764CEC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οποιοσδήποτε οικονομικός φορέας θα μπορεί να θέσει τις παρατηρήσεις τους και η αναθέτουσα αρχή να κρίνει εξ αρχής την </w:t>
      </w:r>
      <w:proofErr w:type="spellStart"/>
      <w:r w:rsidRPr="00764CEC">
        <w:rPr>
          <w:rFonts w:ascii="Times New Roman" w:hAnsi="Times New Roman" w:cs="Times New Roman"/>
          <w:i/>
          <w:iCs/>
          <w:sz w:val="24"/>
          <w:szCs w:val="24"/>
        </w:rPr>
        <w:t>εφαρμοσιμότητα</w:t>
      </w:r>
      <w:proofErr w:type="spellEnd"/>
      <w:r w:rsidRPr="00764CEC">
        <w:rPr>
          <w:rFonts w:ascii="Times New Roman" w:hAnsi="Times New Roman" w:cs="Times New Roman"/>
          <w:i/>
          <w:iCs/>
          <w:sz w:val="24"/>
          <w:szCs w:val="24"/>
        </w:rPr>
        <w:t xml:space="preserve"> της μελέτης».</w:t>
      </w:r>
    </w:p>
    <w:p w14:paraId="7A18E36E" w14:textId="46B005CB" w:rsidR="00E4291E" w:rsidRPr="00BB37C7" w:rsidRDefault="00E4291E" w:rsidP="00764C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7442">
        <w:rPr>
          <w:rFonts w:ascii="Times New Roman" w:hAnsi="Times New Roman" w:cs="Times New Roman"/>
          <w:sz w:val="24"/>
          <w:szCs w:val="24"/>
        </w:rPr>
        <w:t xml:space="preserve">Επιπρόσθετα, αν η προθεσμία αυτή (ΣΣ: </w:t>
      </w:r>
      <w:r w:rsidR="003C7442" w:rsidRPr="003C7442">
        <w:rPr>
          <w:rFonts w:ascii="Times New Roman" w:hAnsi="Times New Roman" w:cs="Times New Roman"/>
          <w:sz w:val="24"/>
          <w:szCs w:val="24"/>
        </w:rPr>
        <w:t>Των είκοσι (20) ημερών έως και των εξήντα (60) ημερών από την υπογραφή της σύμβασης)</w:t>
      </w:r>
      <w:r w:rsidRPr="003C7442">
        <w:rPr>
          <w:rFonts w:ascii="Times New Roman" w:hAnsi="Times New Roman" w:cs="Times New Roman"/>
          <w:sz w:val="24"/>
          <w:szCs w:val="24"/>
        </w:rPr>
        <w:t xml:space="preserve"> παρέλθει άπρακτη, </w:t>
      </w:r>
      <w:r w:rsidRPr="00BB37C7">
        <w:rPr>
          <w:rFonts w:ascii="Times New Roman" w:hAnsi="Times New Roman" w:cs="Times New Roman"/>
          <w:b/>
          <w:bCs/>
          <w:sz w:val="24"/>
          <w:szCs w:val="24"/>
        </w:rPr>
        <w:t>τεκμαίρεται η σύμφωνη γνώμη του αναδόχου επί της μελέτης του έργου.</w:t>
      </w:r>
    </w:p>
    <w:p w14:paraId="69DB12E9" w14:textId="348153FC" w:rsidR="003C7442" w:rsidRPr="003C7442" w:rsidRDefault="003C7442" w:rsidP="00764C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γεγονός ότι η </w:t>
      </w:r>
      <w:r w:rsidRPr="003C7442">
        <w:rPr>
          <w:rFonts w:ascii="Times New Roman" w:hAnsi="Times New Roman" w:cs="Times New Roman"/>
          <w:sz w:val="24"/>
          <w:szCs w:val="24"/>
        </w:rPr>
        <w:t xml:space="preserve">διευθύνουσα υπηρεσία </w:t>
      </w:r>
      <w:r>
        <w:rPr>
          <w:rFonts w:ascii="Times New Roman" w:hAnsi="Times New Roman" w:cs="Times New Roman"/>
          <w:sz w:val="24"/>
          <w:szCs w:val="24"/>
        </w:rPr>
        <w:t xml:space="preserve">δεν </w:t>
      </w:r>
      <w:r w:rsidRPr="003C7442">
        <w:rPr>
          <w:rFonts w:ascii="Times New Roman" w:hAnsi="Times New Roman" w:cs="Times New Roman"/>
          <w:sz w:val="24"/>
          <w:szCs w:val="24"/>
        </w:rPr>
        <w:t>ενημ</w:t>
      </w:r>
      <w:r>
        <w:rPr>
          <w:rFonts w:ascii="Times New Roman" w:hAnsi="Times New Roman" w:cs="Times New Roman"/>
          <w:sz w:val="24"/>
          <w:szCs w:val="24"/>
        </w:rPr>
        <w:t>έ</w:t>
      </w:r>
      <w:r w:rsidRPr="003C7442">
        <w:rPr>
          <w:rFonts w:ascii="Times New Roman" w:hAnsi="Times New Roman" w:cs="Times New Roman"/>
          <w:sz w:val="24"/>
          <w:szCs w:val="24"/>
        </w:rPr>
        <w:t>ρ</w:t>
      </w:r>
      <w:r>
        <w:rPr>
          <w:rFonts w:ascii="Times New Roman" w:hAnsi="Times New Roman" w:cs="Times New Roman"/>
          <w:sz w:val="24"/>
          <w:szCs w:val="24"/>
        </w:rPr>
        <w:t>ω</w:t>
      </w:r>
      <w:r w:rsidRPr="003C7442">
        <w:rPr>
          <w:rFonts w:ascii="Times New Roman" w:hAnsi="Times New Roman" w:cs="Times New Roman"/>
          <w:sz w:val="24"/>
          <w:szCs w:val="24"/>
        </w:rPr>
        <w:t>σε γραπτώς</w:t>
      </w:r>
      <w:r>
        <w:rPr>
          <w:rFonts w:ascii="Times New Roman" w:hAnsi="Times New Roman" w:cs="Times New Roman"/>
          <w:sz w:val="24"/>
          <w:szCs w:val="24"/>
        </w:rPr>
        <w:t xml:space="preserve"> τον Ανάδοχο </w:t>
      </w:r>
      <w:r w:rsidRPr="003C7442">
        <w:rPr>
          <w:rFonts w:ascii="Times New Roman" w:hAnsi="Times New Roman" w:cs="Times New Roman"/>
          <w:sz w:val="24"/>
          <w:szCs w:val="24"/>
        </w:rPr>
        <w:t>πριν την εγκατάστασή του στο εργοτάξιο</w:t>
      </w:r>
      <w:r w:rsidR="00BB37C7">
        <w:rPr>
          <w:rFonts w:ascii="Times New Roman" w:hAnsi="Times New Roman" w:cs="Times New Roman"/>
          <w:sz w:val="24"/>
          <w:szCs w:val="24"/>
        </w:rPr>
        <w:t>, κατά πάγια αρχή του Δικαίου των Δημοσίων Συμβάσεων αλλά και της πολυπληθούς Νομολογίας περί του θέματος,</w:t>
      </w:r>
      <w:r>
        <w:rPr>
          <w:rFonts w:ascii="Times New Roman" w:hAnsi="Times New Roman" w:cs="Times New Roman"/>
          <w:sz w:val="24"/>
          <w:szCs w:val="24"/>
        </w:rPr>
        <w:t xml:space="preserve"> δεν </w:t>
      </w:r>
      <w:proofErr w:type="spellStart"/>
      <w:r>
        <w:rPr>
          <w:rFonts w:ascii="Times New Roman" w:hAnsi="Times New Roman" w:cs="Times New Roman"/>
          <w:sz w:val="24"/>
          <w:szCs w:val="24"/>
        </w:rPr>
        <w:t>απομειώνει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7C7">
        <w:rPr>
          <w:rFonts w:ascii="Times New Roman" w:hAnsi="Times New Roman" w:cs="Times New Roman"/>
          <w:sz w:val="24"/>
          <w:szCs w:val="24"/>
        </w:rPr>
        <w:t xml:space="preserve">σε καμία περίπτωση </w:t>
      </w:r>
      <w:r>
        <w:rPr>
          <w:rFonts w:ascii="Times New Roman" w:hAnsi="Times New Roman" w:cs="Times New Roman"/>
          <w:sz w:val="24"/>
          <w:szCs w:val="24"/>
        </w:rPr>
        <w:t xml:space="preserve">τις ευθύνες του Αναδόχου περί μη εφαρμογής της διάταξης </w:t>
      </w:r>
      <w:r w:rsidRPr="003C7442">
        <w:rPr>
          <w:rFonts w:ascii="Times New Roman" w:hAnsi="Times New Roman" w:cs="Times New Roman"/>
          <w:sz w:val="24"/>
          <w:szCs w:val="24"/>
        </w:rPr>
        <w:t>τη</w:t>
      </w:r>
      <w:r>
        <w:rPr>
          <w:rFonts w:ascii="Times New Roman" w:hAnsi="Times New Roman" w:cs="Times New Roman"/>
          <w:sz w:val="24"/>
          <w:szCs w:val="24"/>
        </w:rPr>
        <w:t>ς</w:t>
      </w:r>
      <w:r w:rsidRPr="003C7442">
        <w:rPr>
          <w:rFonts w:ascii="Times New Roman" w:hAnsi="Times New Roman" w:cs="Times New Roman"/>
          <w:sz w:val="24"/>
          <w:szCs w:val="24"/>
        </w:rPr>
        <w:t xml:space="preserve"> παρ. 2 Άρθρου 138 Ν. 4412/2016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A7A097" w14:textId="77777777" w:rsidR="00764CEC" w:rsidRPr="00764CEC" w:rsidRDefault="00764CEC" w:rsidP="00764C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4CEC">
        <w:rPr>
          <w:rFonts w:ascii="Times New Roman" w:hAnsi="Times New Roman" w:cs="Times New Roman"/>
          <w:b/>
          <w:bCs/>
          <w:sz w:val="24"/>
          <w:szCs w:val="24"/>
        </w:rPr>
        <w:t xml:space="preserve">ΠΗΓΗ: </w:t>
      </w:r>
    </w:p>
    <w:p w14:paraId="42E9F179" w14:textId="6654E124" w:rsidR="003C7442" w:rsidRPr="003C7442" w:rsidRDefault="003C7442" w:rsidP="003C74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442">
        <w:rPr>
          <w:rFonts w:ascii="Times New Roman" w:hAnsi="Times New Roman" w:cs="Times New Roman"/>
          <w:sz w:val="24"/>
          <w:szCs w:val="24"/>
        </w:rPr>
        <w:t>Άρθρο 138 Ν. 4412/2016.</w:t>
      </w:r>
    </w:p>
    <w:p w14:paraId="3FC89C0B" w14:textId="239EA15F" w:rsidR="00764CEC" w:rsidRPr="003C7442" w:rsidRDefault="00005466" w:rsidP="003C74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C7442" w:rsidRPr="003C7442">
          <w:rPr>
            <w:rStyle w:val="-"/>
            <w:rFonts w:ascii="Times New Roman" w:hAnsi="Times New Roman" w:cs="Times New Roman"/>
            <w:sz w:val="24"/>
            <w:szCs w:val="24"/>
          </w:rPr>
          <w:t>http://dimosies-symvaseis.gr/index.php/ektelesi-epivlepsi-ergon/251-kefalaio-g-kataskevi-tou-ergou-apo-ton-anadoxo/g-2-ypoxreosi-elegxou-tis-meletis-dimopratisis</w:t>
        </w:r>
      </w:hyperlink>
    </w:p>
    <w:p w14:paraId="2A4CDEAA" w14:textId="77777777" w:rsidR="00764CEC" w:rsidRPr="003C7442" w:rsidRDefault="00005466" w:rsidP="003C74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64CEC" w:rsidRPr="003C7442">
          <w:rPr>
            <w:rStyle w:val="-"/>
            <w:rFonts w:ascii="Times New Roman" w:hAnsi="Times New Roman" w:cs="Times New Roman"/>
            <w:sz w:val="24"/>
            <w:szCs w:val="24"/>
          </w:rPr>
          <w:t>http://dimosies-symvaseis.gr/index.php/ektelesi-epivlepsi-ergon/252-kefalaio-g-kataskevi-tou-ergou-apo-ton-anadoxo/g-2-ypoxreosi-elegxou-tis-meletis-dimopratisis/g-2-1-elegxos-apo-ton-anadoxo-meta-tin-ypografi-tis-symvasis</w:t>
        </w:r>
      </w:hyperlink>
    </w:p>
    <w:bookmarkEnd w:id="2"/>
    <w:p w14:paraId="11427C4F" w14:textId="77777777" w:rsidR="00764CEC" w:rsidRPr="00764CEC" w:rsidRDefault="00764CEC" w:rsidP="00764CE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764CEC" w:rsidRPr="00764C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43FA6"/>
    <w:multiLevelType w:val="hybridMultilevel"/>
    <w:tmpl w:val="0EBEEBA0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EC7"/>
    <w:rsid w:val="00005466"/>
    <w:rsid w:val="001D00C2"/>
    <w:rsid w:val="003424C9"/>
    <w:rsid w:val="003C7442"/>
    <w:rsid w:val="003F4140"/>
    <w:rsid w:val="006F79A9"/>
    <w:rsid w:val="00764CEC"/>
    <w:rsid w:val="00794EC7"/>
    <w:rsid w:val="008C2B25"/>
    <w:rsid w:val="00A048B9"/>
    <w:rsid w:val="00BB37C7"/>
    <w:rsid w:val="00E4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4F227"/>
  <w15:chartTrackingRefBased/>
  <w15:docId w15:val="{629F3773-8FF6-4629-9B8D-4D901BAB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64CE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64CEC"/>
    <w:rPr>
      <w:color w:val="605E5C"/>
      <w:shd w:val="clear" w:color="auto" w:fill="E1DFDD"/>
    </w:rPr>
  </w:style>
  <w:style w:type="paragraph" w:styleId="a3">
    <w:name w:val="List Paragraph"/>
    <w:basedOn w:val="a"/>
    <w:uiPriority w:val="34"/>
    <w:qFormat/>
    <w:rsid w:val="003C7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mosies-symvaseis.gr/index.php/ektelesi-epivlepsi-ergon/252-kefalaio-g-kataskevi-tou-ergou-apo-ton-anadoxo/g-2-ypoxreosi-elegxou-tis-meletis-dimopratisis/g-2-1-elegxos-apo-ton-anadoxo-meta-tin-ypografi-tis-symvasis" TargetMode="External"/><Relationship Id="rId5" Type="http://schemas.openxmlformats.org/officeDocument/2006/relationships/hyperlink" Target="http://dimosies-symvaseis.gr/index.php/ektelesi-epivlepsi-ergon/251-kefalaio-g-kataskevi-tou-ergou-apo-ton-anadoxo/g-2-ypoxreosi-elegxou-tis-meletis-dimopratis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2025-03-20T16:05:00Z</dcterms:created>
  <dcterms:modified xsi:type="dcterms:W3CDTF">2025-03-20T16:05:00Z</dcterms:modified>
</cp:coreProperties>
</file>