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B68F" w14:textId="4C8C0B1D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Διαδικασία είσπραξης αρνητικού λογαριασμού μετά από έκπτωση Εργολαβίας</w:t>
      </w:r>
    </w:p>
    <w:p w14:paraId="582B5D9F" w14:textId="77777777" w:rsidR="004C0C8E" w:rsidRPr="0078157F" w:rsidRDefault="0078157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Αρχή φόρμας</w:t>
      </w:r>
    </w:p>
    <w:p w14:paraId="12B38D28" w14:textId="77777777" w:rsidR="004C0C8E" w:rsidRPr="0078157F" w:rsidRDefault="004C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D3AFCB2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18/01/2021 </w:t>
      </w:r>
    </w:p>
    <w:p w14:paraId="4F82846A" w14:textId="3202143A" w:rsidR="004C0C8E" w:rsidRPr="0078157F" w:rsidRDefault="004C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D1EABDA" w14:textId="77777777" w:rsidR="004C0C8E" w:rsidRPr="0078157F" w:rsidRDefault="004C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CB39FC3" w14:textId="14CECBFD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</w:p>
    <w:p w14:paraId="6104693F" w14:textId="471BFF93" w:rsidR="004C0C8E" w:rsidRPr="0078157F" w:rsidRDefault="00781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δημόσιο έργο με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αναθέτουσα αρχή το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Δήμο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μας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ανάδοχος κηρύχθηκε έκπτωτος</w:t>
      </w:r>
    </w:p>
    <w:p w14:paraId="01467C18" w14:textId="77777777" w:rsidR="004C0C8E" w:rsidRPr="0078157F" w:rsidRDefault="00781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ολοκληρωθεί η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απαραίτητη διαδικασία έκπτωσης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το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άρθρο 160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Ν.4412/2016 και έχει συνταχθεί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εκκαθαριστικός λογαριασμός ,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οποίος είναι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αρνητικός (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 κοινοποιηθεί στον ανάδοχο μ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 δικαστικό επιμελητή και έχει περάσει η προθεσμία άσκησης ένστασης). </w:t>
      </w:r>
    </w:p>
    <w:p w14:paraId="08134EE8" w14:textId="77777777" w:rsidR="004C0C8E" w:rsidRPr="0078157F" w:rsidRDefault="00781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εδ.12 του άρθρου 160 του Ν. 4412 αναφέρει απλώς ότι \"...Αν ο εκκαθαριστικός λογαριασμός είναι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αρνητικός, η διαφορά εισπράττεται, σύμφωνα με τις διατάξεις που ισχύουν για την είσπραξ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η των απαιτήσεων του κυρίου του έργου...\"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χωρίς περαιτέρω επεξηγήσεις. </w:t>
      </w:r>
    </w:p>
    <w:p w14:paraId="67C6D7DF" w14:textId="77777777" w:rsidR="004C0C8E" w:rsidRPr="0078157F" w:rsidRDefault="0078157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μπορούσατε να μας πληροφορήσετε για την παραπάνω διαδικασία? </w:t>
      </w:r>
    </w:p>
    <w:p w14:paraId="52547731" w14:textId="77777777" w:rsidR="004C0C8E" w:rsidRPr="0078157F" w:rsidRDefault="0078157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Επισημαίνω ότι </w:t>
      </w:r>
    </w:p>
    <w:p w14:paraId="0D6D679F" w14:textId="77777777" w:rsidR="004C0C8E" w:rsidRPr="0078157F" w:rsidRDefault="007815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εγγυητική επιστολή του αναδόχου έχει ήδη καταπέσει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εισπραχθεί σύμφωνα με το εδ.7 του άρθρου 160 ως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ειδική ποινική ρήτρα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καλύπτει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μόνο τμήμα του αρνητικού λογαριασμού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οπότε </w:t>
      </w:r>
    </w:p>
    <w:p w14:paraId="392D09EA" w14:textId="77777777" w:rsidR="004C0C8E" w:rsidRPr="0078157F" w:rsidRDefault="0078157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δεν μπορεί να τύχει εφαρμογής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εδ.8 του άρθρου 155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το οποίο αναφέρεται σε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αρνητικό λογαριασμό εν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εξελίξη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εργολαβίας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0FE236F8" w14:textId="77777777" w:rsidR="004C0C8E" w:rsidRPr="0078157F" w:rsidRDefault="007815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β)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διαδικασία έκπτωσης έχει ολοκληρωθεί και το ερώτημα αφορά μόνο τη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 είσπραξης του τελικού αρνητικού λογαριασμού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4637D37" w14:textId="77777777" w:rsidR="004C0C8E" w:rsidRPr="0078157F" w:rsidRDefault="004C0C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7C79EDE" w14:textId="77777777" w:rsidR="004C0C8E" w:rsidRPr="0078157F" w:rsidRDefault="004C0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026761A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Απάντηση : </w:t>
      </w:r>
    </w:p>
    <w:p w14:paraId="4E8D99E9" w14:textId="77777777" w:rsidR="004C0C8E" w:rsidRPr="0078157F" w:rsidRDefault="00781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τις προβλέψεις της παρ. 10 του άρθρου 160 του Ν. 4412, κατά του οριστικά έκπτωτου αναδόχου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επέρχονται αθροιστικά οι εξής συνέπειες, τις οποίες υποχρεούται να υλοποιήσει η Διευθύνουσα Υπηρεσία εντός μηνός από την οριστικοποίηση της έκπτωσης;</w:t>
      </w:r>
    </w:p>
    <w:p w14:paraId="29567103" w14:textId="77777777" w:rsidR="004C0C8E" w:rsidRPr="0078157F" w:rsidRDefault="0078157F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Καθίσταται άμεσα απαιτητό το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αναπόσβεστο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μέρος της προκαταβολής προσαυξημένο με τους νόμιμους τόκους κα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ι εισπράττεται από τον κύριο του έργου με κατάπτωση ανάλογου ποσού της αντίστοιχης εγγύησης.</w:t>
      </w:r>
    </w:p>
    <w:p w14:paraId="743A531C" w14:textId="77777777" w:rsidR="004C0C8E" w:rsidRPr="0078157F" w:rsidRDefault="0078157F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Καταπίπτει υπέρ του κυρίου του έργου, ως ειδική ποινική ρήτρα, το σύνολο των εγγυήσεων για την καλή εκτέλεση του έργου, όπως ορίζονται στο άρθρο 72 και </w:t>
      </w:r>
      <w:r w:rsidRPr="0078157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κατά μέγ</w:t>
      </w:r>
      <w:r w:rsidRPr="0078157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ιστο μέχρι το υπολειπόμενο προς κατασκευή ποσό της σύμβασης και εφόσον ληφθεί υπόψη προς επιστροφή αρνητικός λογαριασμός</w:t>
      </w:r>
    </w:p>
    <w:p w14:paraId="7C933CE6" w14:textId="77777777" w:rsidR="004C0C8E" w:rsidRPr="0078157F" w:rsidRDefault="0078157F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Καταπίπτει το σύνολο των ποινικών ρητρών που προβλέπονται για την υπέρβαση της συνολικής προθεσμίας περαίωσης του έργου και για τις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τμηματικές προθεσμίες. Οι ποινικές ρήτρες περιλαμβάνονται στον εκκαθαριστικό λογαριασμό της έκπτωτης εργολαβίας.</w:t>
      </w:r>
    </w:p>
    <w:p w14:paraId="37943AC4" w14:textId="77777777" w:rsidR="004C0C8E" w:rsidRPr="0078157F" w:rsidRDefault="007815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Εφόσον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εξαντληθεί η εφαρμογή των εν λόγω διατάξεων, ερίζει εφαρμογής το ακόλουθα νομοθετικό πλαίσιο : </w:t>
      </w:r>
    </w:p>
    <w:p w14:paraId="4C9F4ABE" w14:textId="77777777" w:rsidR="004C0C8E" w:rsidRPr="0078157F" w:rsidRDefault="0078157F">
      <w:pPr>
        <w:pStyle w:val="a4"/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122, 126 παρ. 6 και 136 - 139 του Ν. 4270/2014  (ΦΕΚ Α`143/28-6-2014) «Αρχές δημοσιονομικής διαχείρισης και εποπτείας (ενσωμάτωση της οδηγίας 2011/85/ΕΕ) Δημόσιο Λογιστικό και άλλες διατάξεις», που εφαρμόζονται επί απαιτήσεων του Δημοσίου που βεβαι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ώνονται προς είσπραξη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από 1/1/2015 και δεν εμπίπτουν στο πεδίο εφαρμογής του άρθρου 51 του Ν.4174/2013 .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(σ.σ.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σχεδόν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ομοίου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περιεχομένου με τις αντίστοιχες διατάξεις των άρθρων 103, 65, παρ. 6 και 86 - 89 του Ν. 2362/1995</w:t>
      </w:r>
    </w:p>
    <w:p w14:paraId="16033730" w14:textId="77777777" w:rsidR="004C0C8E" w:rsidRPr="0078157F" w:rsidRDefault="0078157F">
      <w:pPr>
        <w:pStyle w:val="a4"/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άρθρα 87-90 του Ν.Δ.321/1969 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(Α`205/18-10-1969) «Κώδικας Δημόσιου Λογιστικού»</w:t>
      </w:r>
    </w:p>
    <w:p w14:paraId="1468EFF3" w14:textId="77777777" w:rsidR="004C0C8E" w:rsidRPr="0078157F" w:rsidRDefault="0078157F">
      <w:pPr>
        <w:pStyle w:val="a4"/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άρθρων 65 παρ. 6, 86 - 89 και 103 του Ν. 2362/1995  (ΦΕΚ Α247/27-11- 1995) «Δημόσιο Λογιστικό/Έλεγχος δαπανών και λοιπές διατάξεις»</w:t>
      </w:r>
    </w:p>
    <w:p w14:paraId="18CA0A02" w14:textId="77777777" w:rsidR="004C0C8E" w:rsidRPr="0078157F" w:rsidRDefault="0078157F">
      <w:pPr>
        <w:pStyle w:val="a4"/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άρθρο 51 του Ν. 4174/2013 (ΦΕΚ Α170/26-7-2013) «Κώδικας Φορολογικής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Διαδικασίας και άλλες διατάξεις», που εφαρμόζονται επί απαιτήσεων του Δημοσίου από φόρους και λοιπά έσοδα που εμπίπτουν στο πεδίο εφαρμογής του κώδικα, για τα οποία η Φορολογική Διοίκηση αποκτά εκτελεστό τίτλο από την 1/1/2014 και εφεξής (βλ. μεταβατική δι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άταξη της παρ. 14 του άρθρου 72 του Ν. 4174/2013 ),</w:t>
      </w:r>
    </w:p>
    <w:p w14:paraId="19EEA234" w14:textId="77777777" w:rsidR="004C0C8E" w:rsidRPr="0078157F" w:rsidRDefault="0078157F">
      <w:pPr>
        <w:pStyle w:val="a4"/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παρ. 7 του άρθρου 25 του Ν.1882/1990   (ΦΕΚ Α43/23-3-1990) «Ποινικό αδίκημα μη καταβολής χρεών προς το Δημόσιο και τρίτους» περί αναστολής παραγραφής λόγω υποβολής αίτησης ποινικής δίωξης, όπως τέθηκε σ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 ισχύ από 11/9/1997 με τη διάταξη της παραγράφου 1 του άρθρου 23 του ν. 2523/1997   (ΦΕΚ Α` 179/11-9-1997) και αντικαταστάθηκε με την παρ. 2 του άρθρου 34 του Ν.3220/2004   (ΦΕΚ Α`15 / 28-1-2004)</w:t>
      </w:r>
    </w:p>
    <w:p w14:paraId="68BE4BB3" w14:textId="3CEFE9C7" w:rsidR="004C0C8E" w:rsidRPr="0078157F" w:rsidRDefault="0078157F" w:rsidP="0078157F">
      <w:pPr>
        <w:pStyle w:val="a4"/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ΠΟΛ1154/12-10-2016:Συστηματική παρουσίαση των διατάξεων περ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ί παραγραφής απαιτήσεων του Δημοσίου των Ν. 4270/2014 , Ν.4174/2013 , Ν. 2362/1995 , Ν.Δ. 321/1969  και άλλων νομοθετημάτων.</w:t>
      </w:r>
    </w:p>
    <w:p w14:paraId="676B06B0" w14:textId="77777777" w:rsidR="004C0C8E" w:rsidRPr="0078157F" w:rsidRDefault="004C0C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FEC8706" w14:textId="77777777" w:rsidR="004C0C8E" w:rsidRPr="0078157F" w:rsidRDefault="0078157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0004B90A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</w:pP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  <w:t>Προβλέψεις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 xml:space="preserve"> </w:t>
      </w:r>
      <w:proofErr w:type="spellStart"/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>του</w:t>
      </w:r>
      <w:proofErr w:type="spellEnd"/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 xml:space="preserve"> </w:t>
      </w:r>
      <w:proofErr w:type="spellStart"/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>Αστικού</w:t>
      </w:r>
      <w:proofErr w:type="spellEnd"/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 xml:space="preserve"> </w:t>
      </w:r>
      <w:proofErr w:type="spellStart"/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>Κώδικ</w:t>
      </w:r>
      <w:proofErr w:type="spellEnd"/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 xml:space="preserve">α : </w:t>
      </w:r>
    </w:p>
    <w:p w14:paraId="503B6F87" w14:textId="77777777" w:rsidR="004C0C8E" w:rsidRPr="0078157F" w:rsidRDefault="007815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το 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914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Α.Κ.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"Όποιος ζημίωσε άλλον παράνομα και υπαίτια έχει υποχρέωση να τον αποζημιώσει"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(“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όποιος έγινε πλουσιότερος χωρίς νόμιμη αιτία από την περιουσία ή με ζημία άλλου, έχει υποχρέωση να αποδώσει την ωφέλεια, προκύπτει ότι οι προϋποθέσεις για τη θεμελίωση της σχ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ετικής αξίωσης είναι η ύπαρξη πλουτισμού του λήπτη χωρίς νόμιμη αιτία και η επέλευση του πλουτισμού από την περιουσία ή με ζημία άλλου, δηλαδή η ύπαρξη αιτιώδους συνάφειας μεταξύ πλουτισμού και επιβάρυνσης, έτσι ώστε το ένα να αποτελεί την αιτία του άλλου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13325F0C" w14:textId="77777777" w:rsidR="004C0C8E" w:rsidRPr="0078157F" w:rsidRDefault="007815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δε το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άρθρο 926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ίδιου Κώδικα "Αν από κοινή πράξη περισσοτέρων προήλθε ζημία ή αν για την ίδια ζημία ευθύνονται παράλληλα περισσότεροι, ενέχονται εις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ολόκληρον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. Το ίδιο ισχύει και αν έχουν ενεργήσει περισσότεροι συγχρόνως ή διαδοχικά και δεν μπορεί να εξακριβωθεί τίνο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η πράξη επέφερε τη ζημία". </w:t>
      </w:r>
    </w:p>
    <w:p w14:paraId="0E74F7E6" w14:textId="77777777" w:rsidR="004C0C8E" w:rsidRPr="0078157F" w:rsidRDefault="007815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ο πλουτισμός επέρχεται ως αντάλλαγμα που παρέχει ο λήπτης του πλουτισμού, δηλαδή αποτελεί οικονομική θυσία του λήπτη έναντι του αποκτώμενου πλουτισμού, ισάξια με τον πλουτισμό, ο πλουτισμός έχει νόμιμη αιτία δικαιολόγησής τ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ου, και δεν είναι αδικαιολόγητος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ΑΠ 1627/2010 σκέψ.2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)</w:t>
      </w:r>
    </w:p>
    <w:p w14:paraId="3856F04C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</w:pP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  <w:t>Σύμβαση και αδικαιολόγητος πλουτισμός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en-US" w:eastAsia="el-GR"/>
        </w:rPr>
        <w:t xml:space="preserve"> :</w:t>
      </w:r>
    </w:p>
    <w:p w14:paraId="7A4D60DB" w14:textId="77777777" w:rsidR="004C0C8E" w:rsidRPr="0078157F" w:rsidRDefault="007815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η παροχή δόθηκε προς εκπλήρωση υποχρέωσης που αναλήφθηκε με σύμβαση, κατ' αρχήν η παροχή δεν δόθηκε αναίτια 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(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ΑΠ 1596/2014 σκέψ.6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)</w:t>
      </w:r>
    </w:p>
    <w:p w14:paraId="0589BC2E" w14:textId="77777777" w:rsidR="004C0C8E" w:rsidRPr="0078157F" w:rsidRDefault="007815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αυτό, γιατί η σύμβαση αποτελεί κατ' άρ.361 ΑΚ νόμιμη αιτία πλουτισμού, και, αν η σύμβαση είναι ισχυρή, κάθε συμβαλλόμεν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ος μπορεί να ασκήσει τα δικαιώματά του απ' αυτή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ΑΠ 1596/2014 σκέψ.6 άρ.361 ΑΚ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)</w:t>
      </w:r>
    </w:p>
    <w:p w14:paraId="1004E5B0" w14:textId="77777777" w:rsidR="004C0C8E" w:rsidRPr="0078157F" w:rsidRDefault="007815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ΑΠ 28/2010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,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η αγωγή έχει ως κύρια βάση της την αδικοπραξία, και ο αδικαιολόγητος πλουτισμός προβάλλεται ως επικουρική βάση της αγωγής, απαραίτητο στοιχείο της αγωγής για το ορισμένο της ως προς την βάση του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αδικαιολογήτου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πλουτισμού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 και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η ωφέλεια που αποκόμισ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 ο εναγόμενος από την αδικοπραξία </w:t>
      </w:r>
    </w:p>
    <w:p w14:paraId="26EC5486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</w:pP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  <w:t>Επέλευση του πλουτισμού από την περιουσία ή με ζημία του άλλου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  <w:t xml:space="preserve"> :</w:t>
      </w:r>
    </w:p>
    <w:p w14:paraId="53736C60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επέλευση του πλουτισμού του υπόχρεου από την περιουσία ή με ζημία του άλλου αποτελεί στοιχείο της αγωγής αδικαιολόγητου πλουτισμού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ΑΠ 1316/2011 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άρ.904 ΑΚ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)</w:t>
      </w:r>
    </w:p>
    <w:p w14:paraId="0E117499" w14:textId="77777777" w:rsidR="004C0C8E" w:rsidRPr="0078157F" w:rsidRDefault="004C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EB2BD44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</w:pP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  <w:t>Αιτιώδης συνάφεια μεταξύ πλουτισμού και ζημίας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el-GR"/>
        </w:rPr>
        <w:t xml:space="preserve"> :</w:t>
      </w:r>
    </w:p>
    <w:p w14:paraId="3A13AF92" w14:textId="77777777" w:rsidR="004C0C8E" w:rsidRPr="0078157F" w:rsidRDefault="007815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το ένα αποτελεί την αιτία του άλλου, υπάρχει αιτιώδης συνάφεια μεταξύ πλουτισμού και ζημίας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ΑΠ 1627/2010 σκέψ.2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)</w:t>
      </w:r>
    </w:p>
    <w:p w14:paraId="20435406" w14:textId="77777777" w:rsidR="004C0C8E" w:rsidRPr="0078157F" w:rsidRDefault="007815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28/2010 ΑΠ</w:t>
      </w:r>
      <w:r w:rsidRPr="00781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( Σκέψη 3), α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πό τις διατάξεις αυτές προκύπτει ότι, για την προκαλούμενη από περισσοτέρους παρανόμως και υπαιτίως ζημία, δημιουργείται εις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ολόκληρον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ευθύνη αυτών έναντι του δικαιούχου. </w:t>
      </w:r>
    </w:p>
    <w:p w14:paraId="51FB37CE" w14:textId="77777777" w:rsidR="004C0C8E" w:rsidRPr="0078157F" w:rsidRDefault="004C0C8E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double"/>
          <w:lang w:eastAsia="el-GR"/>
        </w:rPr>
      </w:pPr>
    </w:p>
    <w:p w14:paraId="2D98BA92" w14:textId="77777777" w:rsidR="004C0C8E" w:rsidRPr="0078157F" w:rsidRDefault="00781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double"/>
          <w:lang w:eastAsia="el-GR"/>
        </w:rPr>
        <w:t>Σε</w:t>
      </w:r>
      <w:r w:rsidRPr="0078157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double"/>
          <w:lang w:eastAsia="el-GR"/>
        </w:rPr>
        <w:t xml:space="preserve"> σχέση με την </w:t>
      </w:r>
      <w:r w:rsidRPr="0078157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double"/>
          <w:lang w:eastAsia="el-GR"/>
        </w:rPr>
        <w:t>διαδικασία είσπραξης του τελικού αρνητικού λογαριασμού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14:paraId="573A399F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Ισχύουν ο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διατάξεις του </w:t>
      </w:r>
      <w:r w:rsidRPr="007815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Ν. 4270/2014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“Αρχές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δημοσ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ικής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διαχείρισης Δημόσιο Λογιστικό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”, και ιδιαίτερα του 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Άρθρου 145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(“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Κατάσχεση εις χείρας του Δημοσίου και εκχώρηση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”). Σύμφωνα με τα περιλαμβανόμενα σε αυτό : </w:t>
      </w:r>
    </w:p>
    <w:p w14:paraId="6FC166A5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1. Η κατάσχεση χρηματικής απαίτησης εις χείρας του Δημοσίου, ως τρίτου, γίνεται, τηρουμένων και των λοιπών όρων και προϋποθέσεων, οι οποίες προβλέπονται από την κείμενη νομοθεσία, με κοινοποίηση του κατασχετηρίου σωρευτικά:</w:t>
      </w:r>
    </w:p>
    <w:p w14:paraId="698BB8A2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α. στην αρμόδια για την πληρωμ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ή της συγκεκριμένης οφειλής του Δημοσίου υπηρεσία ή στην οικεία χρηματική διαχείριση,</w:t>
      </w:r>
    </w:p>
    <w:p w14:paraId="3036FFE3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στις αρμόδιες, για τη φορολογία εισοδήματος τόσο του καθ’ ου η κατάσχεση, όσο και του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κατάσχοντος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, Δ.Ο.Υ..</w:t>
      </w:r>
    </w:p>
    <w:p w14:paraId="4903638F" w14:textId="77777777" w:rsidR="004C0C8E" w:rsidRPr="0078157F" w:rsidRDefault="0078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2. Στο κατασχετήριο εις χείρας του Δημοσίου, πρέπει αναγκαία</w:t>
      </w:r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αναφέρεται σαφώς η ακριβής αιτία της οφειλής του Δημοσίου, το πρόσωπο του δικαιούχου της σχετικής απαίτησης με την ακριβή διεύθυνσή του και το ποσό αυτής, καθώς και ο αριθμός φορολογικού μητρώου τόσο του </w:t>
      </w:r>
      <w:proofErr w:type="spellStart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κατάσχοντος</w:t>
      </w:r>
      <w:proofErr w:type="spellEnd"/>
      <w:r w:rsidRPr="0078157F">
        <w:rPr>
          <w:rFonts w:ascii="Times New Roman" w:eastAsia="Times New Roman" w:hAnsi="Times New Roman" w:cs="Times New Roman"/>
          <w:sz w:val="24"/>
          <w:szCs w:val="24"/>
          <w:lang w:eastAsia="el-GR"/>
        </w:rPr>
        <w:t>, όσο και του καθ’ ου η κατάσχεση.</w:t>
      </w:r>
    </w:p>
    <w:p w14:paraId="220F325A" w14:textId="77777777" w:rsidR="004C0C8E" w:rsidRPr="0078157F" w:rsidRDefault="004C0C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4C0C8E" w:rsidRPr="007815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7BC88"/>
    <w:multiLevelType w:val="singleLevel"/>
    <w:tmpl w:val="8797BC8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D3ACAA"/>
    <w:multiLevelType w:val="singleLevel"/>
    <w:tmpl w:val="FFD3ACAA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C4A5828"/>
    <w:multiLevelType w:val="multilevel"/>
    <w:tmpl w:val="2C4A5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F493C"/>
    <w:multiLevelType w:val="singleLevel"/>
    <w:tmpl w:val="503F493C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4422534"/>
    <w:multiLevelType w:val="multilevel"/>
    <w:tmpl w:val="54422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20EF9"/>
    <w:multiLevelType w:val="multilevel"/>
    <w:tmpl w:val="61C20EF9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F33"/>
    <w:rsid w:val="000422E2"/>
    <w:rsid w:val="00131944"/>
    <w:rsid w:val="003F0F33"/>
    <w:rsid w:val="0044353A"/>
    <w:rsid w:val="004C0C8E"/>
    <w:rsid w:val="005E3169"/>
    <w:rsid w:val="00705AD6"/>
    <w:rsid w:val="0078157F"/>
    <w:rsid w:val="00935045"/>
    <w:rsid w:val="00992541"/>
    <w:rsid w:val="00A14BB3"/>
    <w:rsid w:val="00AB0412"/>
    <w:rsid w:val="00C57E01"/>
    <w:rsid w:val="00C74A9F"/>
    <w:rsid w:val="00D84C03"/>
    <w:rsid w:val="00E54FDC"/>
    <w:rsid w:val="00EC491E"/>
    <w:rsid w:val="326943DF"/>
    <w:rsid w:val="58200E4F"/>
    <w:rsid w:val="5E3C2B5A"/>
    <w:rsid w:val="70221588"/>
    <w:rsid w:val="77F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51A1"/>
  <w15:docId w15:val="{E482160D-D8F1-4760-856D-EAF2C57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-HTML">
    <w:name w:val="HTML Preformatted"/>
    <w:basedOn w:val="a"/>
    <w:link w:val="-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z-1">
    <w:name w:val="z-Αρχή φόρμας1"/>
    <w:basedOn w:val="a"/>
    <w:next w:val="a"/>
    <w:link w:val="z-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10">
    <w:name w:val="z-Τέλος φόρμας1"/>
    <w:basedOn w:val="a"/>
    <w:next w:val="a"/>
    <w:link w:val="z-Char0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10"/>
    <w:uiPriority w:val="99"/>
    <w:semiHidden/>
    <w:qFormat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-HTMLChar">
    <w:name w:val="Προ-διαμορφωμένο HTML Char"/>
    <w:basedOn w:val="a0"/>
    <w:link w:val="-HTML"/>
    <w:uiPriority w:val="99"/>
    <w:semiHidden/>
    <w:qFormat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1177</Words>
  <Characters>6356</Characters>
  <Application>Microsoft Office Word</Application>
  <DocSecurity>0</DocSecurity>
  <Lines>52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Ζήσης Παπασταμάτης</cp:lastModifiedBy>
  <cp:revision>9</cp:revision>
  <dcterms:created xsi:type="dcterms:W3CDTF">2021-01-18T15:11:00Z</dcterms:created>
  <dcterms:modified xsi:type="dcterms:W3CDTF">2025-03-20T13:32:00Z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